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9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6"/>
            </w:pPr>
            <w:r>
              <w:t>窗体顶端</w:t>
            </w:r>
          </w:p>
          <w:tbl>
            <w:tblPr>
              <w:tblW w:w="72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sz w:val="30"/>
                      <w:szCs w:val="30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30"/>
                      <w:szCs w:val="30"/>
                      <w:lang w:val="en-US" w:eastAsia="zh-CN" w:bidi="ar"/>
                    </w:rPr>
                    <w:t>江苏大学2023年各学院硕士研究生调剂时间表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77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7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75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5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color w:val="999999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99999"/>
                      <w:kern w:val="0"/>
                      <w:sz w:val="20"/>
                      <w:szCs w:val="20"/>
                      <w:lang w:val="en-US" w:eastAsia="zh-CN" w:bidi="ar"/>
                    </w:rPr>
                    <w:t>发布日期：2023-04-03　　浏览次数：1328次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76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1052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923"/>
                    <w:gridCol w:w="2688"/>
                    <w:gridCol w:w="1848"/>
                    <w:gridCol w:w="1092"/>
                    <w:gridCol w:w="396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8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学院代码</w:t>
                        </w:r>
                      </w:p>
                    </w:tc>
                    <w:tc>
                      <w:tcPr>
                        <w:tcW w:w="25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学院名称</w:t>
                        </w:r>
                      </w:p>
                    </w:tc>
                    <w:tc>
                      <w:tcPr>
                        <w:tcW w:w="176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调剂开通时间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 调剂开通时长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95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nil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085501机械工程（非全日制）调剂开通时长为32小时；085408光电信息工程（非全日制）调剂开通时长为18小时；080400仪器科学与技术调剂开通时长为33小时；085407仪器仪表工程（全日制、非全日）调剂开通时长为33小时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农业工程学院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材料科学与工程学院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汽车与交通工程学院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能源与动力工程学院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流体机械工程技术研究中心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电气信息工程学院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环境与安全工程学院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食品与生物工程学院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生命科学学院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管理学院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财经学院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9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计算机科学与通信工程学院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085404计算机技术、085405软件工程 非全日制 24小时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数学科学学院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土木工程与力学学院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15小时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085901土木工程（非全日制）调剂开通时间32小时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化学化工学院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医学院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药学院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外国语学院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法学院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教师教育学院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91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科技信息研究所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120500图书情报与档案管理专业只调剂第一志愿报考"图书情报与档案管理“专业的学生；125500图书情报非全日制只调剂第一志愿报考“图书情报”专业的学生。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艺术学院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95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文学院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第一志愿报考专业相同或相近，且在同一学科门类范围内；本科为人文社科及相关专业；符合教育部对该学科的划线标准，英语成绩优秀者优先。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物理与电子工程学院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汽车工程研究院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能源研究院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12小时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178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nil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nil"/>
                          <w:bottom w:val="nil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克兰菲尔德未来技术研究生院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4月6日0:00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color="000000" w:sz="4" w:space="0"/>
                          <w:left w:val="nil"/>
                          <w:bottom w:val="nil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082800 农业工程 14小时；</w:t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085501 机械工程 12小时；</w:t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085701 环境工程 14小时；</w:t>
                        </w:r>
                      </w:p>
                    </w:tc>
                    <w:tc>
                      <w:tcPr>
                        <w:tcW w:w="3600" w:type="dxa"/>
                        <w:tcBorders>
                          <w:top w:val="single" w:color="000000" w:sz="4" w:space="0"/>
                          <w:left w:val="nil"/>
                          <w:bottom w:val="nil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请仔细阅读招生简章相关内容，特别注意语言入学条件相关规定；</w:t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"https://cranfield.ujs.edu.cn/info/1211/3791.htm" \t "https://yz.ujs.edu.cn/info/1012/_self" </w:instrText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5"/>
                            <w:rFonts w:ascii="宋体" w:hAnsi="宋体" w:eastAsia="宋体" w:cs="宋体"/>
                            <w:i w:val="0"/>
                            <w:iCs w:val="0"/>
                            <w:sz w:val="16"/>
                            <w:szCs w:val="16"/>
                            <w:u w:val="none"/>
                            <w:bdr w:val="none" w:color="auto" w:sz="0" w:space="0"/>
                          </w:rPr>
                          <w:t>https://cranfield.ujs.edu.cn/info/1211/3791.htm</w:t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英语成绩优秀者优先。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600" w:hRule="atLeast"/>
                    </w:trPr>
                    <w:tc>
                      <w:tcPr>
                        <w:tcW w:w="9840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FF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注：各学院可根据各专业报考生源情况开通或关闭调剂系统，请考生注意关注研招网调剂系统。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</w:pP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1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3"/>
                <w:szCs w:val="13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D0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883</Words>
  <Characters>1186</Characters>
  <Lines>0</Lines>
  <Paragraphs>0</Paragraphs>
  <TotalTime>0</TotalTime>
  <ScaleCrop>false</ScaleCrop>
  <LinksUpToDate>false</LinksUpToDate>
  <CharactersWithSpaces>1198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2023-04-04T01:04:49Z</dcterms:created>
  <dc:creator>Administrator</dc:creator>
  <cp:lastModifiedBy>王英</cp:lastModifiedBy>
  <dcterms:modified xsi:type="dcterms:W3CDTF">2023-04-04T01:05:01Z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2DCC078FB1DB4FD2A3AF473B62AC670F</vt:lpwstr>
  </property>
</Properties>
</file>