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12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tblCellSpacing w:w="0" w:type="dxa"/>
          <w:jc w:val="center"/>
        </w:trPr>
        <w:tc>
          <w:tcPr>
            <w:tcW w:w="0" w:type="auto"/>
            <w:shd w:val="clear"/>
            <w:vAlign w:val="center"/>
          </w:tcPr>
          <w:p>
            <w:pPr>
              <w:rPr>
                <w:rFonts w:hint="eastAsia" w:ascii="微软雅黑" w:hAnsi="微软雅黑" w:eastAsia="微软雅黑" w:cs="微软雅黑"/>
                <w:sz w:val="20"/>
                <w:szCs w:val="20"/>
              </w:rPr>
            </w:pPr>
          </w:p>
        </w:tc>
      </w:tr>
    </w:tbl>
    <w:p>
      <w:pPr>
        <w:rPr>
          <w:vanish/>
          <w:sz w:val="24"/>
          <w:szCs w:val="24"/>
        </w:rPr>
      </w:pPr>
    </w:p>
    <w:tbl>
      <w:tblPr>
        <w:tblW w:w="79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0" w:type="dxa"/>
          <w:jc w:val="center"/>
        </w:trPr>
        <w:tc>
          <w:tcPr>
            <w:tcW w:w="0" w:type="auto"/>
            <w:shd w:val="clear"/>
            <w:vAlign w:val="center"/>
          </w:tcPr>
          <w:p>
            <w:pPr>
              <w:pStyle w:val="6"/>
            </w:pPr>
            <w:r>
              <w:t>窗体顶端</w:t>
            </w:r>
          </w:p>
          <w:tbl>
            <w:tblPr>
              <w:tblW w:w="72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2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1" w:hRule="atLeast"/>
                <w:tblCellSpacing w:w="0" w:type="dxa"/>
                <w:jc w:val="center"/>
              </w:trPr>
              <w:tc>
                <w:tcPr>
                  <w:tcW w:w="0" w:type="auto"/>
                  <w:shd w:val="clear"/>
                  <w:vAlign w:val="top"/>
                </w:tcPr>
                <w:p>
                  <w:pPr>
                    <w:keepNext w:val="0"/>
                    <w:keepLines w:val="0"/>
                    <w:widowControl/>
                    <w:suppressLineNumbers w:val="0"/>
                    <w:jc w:val="center"/>
                    <w:rPr>
                      <w:rFonts w:hint="eastAsia" w:ascii="微软雅黑" w:hAnsi="微软雅黑" w:eastAsia="微软雅黑" w:cs="微软雅黑"/>
                      <w:b/>
                      <w:bCs/>
                      <w:sz w:val="30"/>
                      <w:szCs w:val="30"/>
                    </w:rPr>
                  </w:pPr>
                  <w:bookmarkStart w:id="0" w:name="_GoBack"/>
                  <w:r>
                    <w:rPr>
                      <w:rFonts w:hint="eastAsia" w:ascii="微软雅黑" w:hAnsi="微软雅黑" w:eastAsia="微软雅黑" w:cs="微软雅黑"/>
                      <w:b/>
                      <w:bCs/>
                      <w:kern w:val="0"/>
                      <w:sz w:val="30"/>
                      <w:szCs w:val="30"/>
                      <w:lang w:val="en-US" w:eastAsia="zh-CN" w:bidi="ar"/>
                    </w:rPr>
                    <w:t>江苏大学2023年硕士研究生招生拟调剂专业信息公告</w:t>
                  </w:r>
                  <w:bookmarkEnd w:id="0"/>
                </w:p>
              </w:tc>
            </w:tr>
          </w:tbl>
          <w:p>
            <w:pPr>
              <w:rPr>
                <w:vanish/>
                <w:sz w:val="24"/>
                <w:szCs w:val="24"/>
              </w:rPr>
            </w:pPr>
          </w:p>
          <w:tbl>
            <w:tblPr>
              <w:tblW w:w="10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51" w:hRule="atLeast"/>
                <w:tblCellSpacing w:w="0" w:type="dxa"/>
                <w:jc w:val="center"/>
              </w:trPr>
              <w:tc>
                <w:tcPr>
                  <w:tcW w:w="0" w:type="auto"/>
                  <w:shd w:val="clear"/>
                  <w:vAlign w:val="center"/>
                </w:tcPr>
                <w:p>
                  <w:pPr>
                    <w:rPr>
                      <w:rFonts w:hint="eastAsia" w:ascii="微软雅黑" w:hAnsi="微软雅黑" w:eastAsia="微软雅黑" w:cs="微软雅黑"/>
                      <w:sz w:val="20"/>
                      <w:szCs w:val="20"/>
                    </w:rPr>
                  </w:pPr>
                </w:p>
              </w:tc>
            </w:tr>
          </w:tbl>
          <w:p>
            <w:pPr>
              <w:rPr>
                <w:vanish/>
                <w:sz w:val="24"/>
                <w:szCs w:val="24"/>
              </w:rPr>
            </w:pPr>
          </w:p>
          <w:tbl>
            <w:tblPr>
              <w:tblW w:w="77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7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11" w:hRule="atLeast"/>
                <w:tblCellSpacing w:w="0" w:type="dxa"/>
                <w:jc w:val="center"/>
              </w:trPr>
              <w:tc>
                <w:tcPr>
                  <w:tcW w:w="0" w:type="auto"/>
                  <w:shd w:val="clear" w:color="auto" w:fill="CCCCCC"/>
                  <w:vAlign w:val="center"/>
                </w:tcPr>
                <w:p>
                  <w:pPr>
                    <w:rPr>
                      <w:rFonts w:hint="eastAsia" w:ascii="微软雅黑" w:hAnsi="微软雅黑" w:eastAsia="微软雅黑" w:cs="微软雅黑"/>
                      <w:sz w:val="20"/>
                      <w:szCs w:val="20"/>
                    </w:rPr>
                  </w:pPr>
                </w:p>
              </w:tc>
            </w:tr>
          </w:tbl>
          <w:p>
            <w:pPr>
              <w:rPr>
                <w:vanish/>
                <w:sz w:val="24"/>
                <w:szCs w:val="24"/>
              </w:rPr>
            </w:pPr>
          </w:p>
          <w:tbl>
            <w:tblPr>
              <w:tblW w:w="10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81" w:hRule="atLeast"/>
                <w:tblCellSpacing w:w="0" w:type="dxa"/>
                <w:jc w:val="center"/>
              </w:trPr>
              <w:tc>
                <w:tcPr>
                  <w:tcW w:w="0" w:type="auto"/>
                  <w:shd w:val="clear"/>
                  <w:vAlign w:val="center"/>
                </w:tcPr>
                <w:p>
                  <w:pPr>
                    <w:rPr>
                      <w:rFonts w:hint="eastAsia" w:ascii="微软雅黑" w:hAnsi="微软雅黑" w:eastAsia="微软雅黑" w:cs="微软雅黑"/>
                      <w:sz w:val="20"/>
                      <w:szCs w:val="20"/>
                    </w:rPr>
                  </w:pPr>
                </w:p>
              </w:tc>
            </w:tr>
          </w:tbl>
          <w:p>
            <w:pPr>
              <w:rPr>
                <w:vanish/>
                <w:sz w:val="24"/>
                <w:szCs w:val="24"/>
              </w:rPr>
            </w:pPr>
          </w:p>
          <w:tbl>
            <w:tblPr>
              <w:tblW w:w="75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5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21" w:hRule="atLeast"/>
                <w:tblCellSpacing w:w="0" w:type="dxa"/>
                <w:jc w:val="center"/>
              </w:trPr>
              <w:tc>
                <w:tcPr>
                  <w:tcW w:w="0" w:type="auto"/>
                  <w:shd w:val="clear"/>
                  <w:vAlign w:val="center"/>
                </w:tcPr>
                <w:p>
                  <w:pPr>
                    <w:keepNext w:val="0"/>
                    <w:keepLines w:val="0"/>
                    <w:widowControl/>
                    <w:suppressLineNumbers w:val="0"/>
                    <w:jc w:val="center"/>
                    <w:rPr>
                      <w:rFonts w:hint="eastAsia" w:ascii="微软雅黑" w:hAnsi="微软雅黑" w:eastAsia="微软雅黑" w:cs="微软雅黑"/>
                      <w:color w:val="999999"/>
                      <w:sz w:val="20"/>
                      <w:szCs w:val="20"/>
                    </w:rPr>
                  </w:pPr>
                  <w:r>
                    <w:rPr>
                      <w:rFonts w:hint="eastAsia" w:ascii="微软雅黑" w:hAnsi="微软雅黑" w:eastAsia="微软雅黑" w:cs="微软雅黑"/>
                      <w:color w:val="999999"/>
                      <w:kern w:val="0"/>
                      <w:sz w:val="20"/>
                      <w:szCs w:val="20"/>
                      <w:lang w:val="en-US" w:eastAsia="zh-CN" w:bidi="ar"/>
                    </w:rPr>
                    <w:t>发布日期：2023-03-31　　浏览次数：40046次</w:t>
                  </w:r>
                </w:p>
              </w:tc>
            </w:tr>
          </w:tbl>
          <w:p>
            <w:pPr>
              <w:rPr>
                <w:vanish/>
                <w:sz w:val="24"/>
                <w:szCs w:val="24"/>
              </w:rPr>
            </w:pPr>
          </w:p>
          <w:tbl>
            <w:tblPr>
              <w:tblW w:w="10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21" w:hRule="atLeast"/>
                <w:tblCellSpacing w:w="0" w:type="dxa"/>
                <w:jc w:val="center"/>
              </w:trPr>
              <w:tc>
                <w:tcPr>
                  <w:tcW w:w="0" w:type="auto"/>
                  <w:shd w:val="clear"/>
                  <w:vAlign w:val="center"/>
                </w:tcPr>
                <w:p>
                  <w:pPr>
                    <w:keepNext w:val="0"/>
                    <w:keepLines w:val="0"/>
                    <w:widowControl/>
                    <w:suppressLineNumbers w:val="0"/>
                    <w:jc w:val="left"/>
                    <w:rPr>
                      <w:rFonts w:hint="eastAsia" w:ascii="微软雅黑" w:hAnsi="微软雅黑" w:eastAsia="微软雅黑" w:cs="微软雅黑"/>
                      <w:sz w:val="20"/>
                      <w:szCs w:val="20"/>
                    </w:rPr>
                  </w:pPr>
                  <w:r>
                    <w:rPr>
                      <w:rFonts w:hint="eastAsia" w:ascii="微软雅黑" w:hAnsi="微软雅黑" w:eastAsia="微软雅黑" w:cs="微软雅黑"/>
                      <w:kern w:val="0"/>
                      <w:sz w:val="20"/>
                      <w:szCs w:val="20"/>
                      <w:lang w:val="en-US" w:eastAsia="zh-CN" w:bidi="ar"/>
                    </w:rPr>
                    <w:t> </w:t>
                  </w:r>
                </w:p>
              </w:tc>
            </w:tr>
          </w:tbl>
          <w:p>
            <w:pPr>
              <w:rPr>
                <w:vanish/>
                <w:sz w:val="24"/>
                <w:szCs w:val="24"/>
              </w:rPr>
            </w:pPr>
          </w:p>
          <w:tbl>
            <w:tblPr>
              <w:tblW w:w="76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jc w:val="center"/>
              </w:trPr>
              <w:tc>
                <w:tcPr>
                  <w:tcW w:w="0" w:type="auto"/>
                  <w:shd w:val="clear"/>
                  <w:vAlign w:val="top"/>
                </w:tcPr>
                <w:p>
                  <w:pPr>
                    <w:pStyle w:val="2"/>
                    <w:keepNext w:val="0"/>
                    <w:keepLines w:val="0"/>
                    <w:widowControl/>
                    <w:suppressLineNumbers w:val="0"/>
                    <w:spacing w:line="630" w:lineRule="atLeast"/>
                    <w:ind w:left="0" w:firstLine="320"/>
                    <w:jc w:val="both"/>
                  </w:pPr>
                  <w:r>
                    <w:rPr>
                      <w:rFonts w:hint="eastAsia" w:ascii="宋体" w:hAnsi="宋体" w:eastAsia="宋体" w:cs="宋体"/>
                      <w:sz w:val="21"/>
                      <w:szCs w:val="21"/>
                    </w:rPr>
                    <w:t>根据考生一志愿上线与招生计划情况，我校2023年拟调剂专业信息见下表，仅供考生参考，最终接收调剂专业以“中国研究生招生信息网”调剂系统正式公布的为准。</w:t>
                  </w:r>
                </w:p>
                <w:p>
                  <w:pPr>
                    <w:pStyle w:val="2"/>
                    <w:keepNext w:val="0"/>
                    <w:keepLines w:val="0"/>
                    <w:widowControl/>
                    <w:suppressLineNumbers w:val="0"/>
                    <w:spacing w:line="630" w:lineRule="atLeast"/>
                    <w:ind w:left="0" w:firstLine="320"/>
                  </w:pPr>
                  <w:r>
                    <w:rPr>
                      <w:rFonts w:hint="eastAsia" w:ascii="宋体" w:hAnsi="宋体" w:eastAsia="宋体" w:cs="宋体"/>
                      <w:sz w:val="21"/>
                      <w:szCs w:val="21"/>
                    </w:rPr>
                    <w:t>调剂工作按教育部《2023年全国硕士研究生招生工作管理规定》中关于调剂的要求执行，各学院可自主确定具体调剂学术要求。</w:t>
                  </w:r>
                </w:p>
                <w:p>
                  <w:pPr>
                    <w:pStyle w:val="2"/>
                    <w:keepNext w:val="0"/>
                    <w:keepLines w:val="0"/>
                    <w:widowControl/>
                    <w:suppressLineNumbers w:val="0"/>
                    <w:spacing w:line="630" w:lineRule="atLeast"/>
                    <w:ind w:left="0" w:firstLine="320"/>
                  </w:pPr>
                  <w:r>
                    <w:rPr>
                      <w:rFonts w:hint="eastAsia" w:ascii="宋体" w:hAnsi="宋体" w:eastAsia="宋体" w:cs="宋体"/>
                      <w:sz w:val="21"/>
                      <w:szCs w:val="21"/>
                    </w:rPr>
                    <w:t>我校相关专业接收调剂情况将同时在教育部指定的全国硕士研究生招生“调剂服务系统”（</w:t>
                  </w:r>
                  <w:r>
                    <w:rPr>
                      <w:rFonts w:hint="eastAsia" w:ascii="宋体" w:hAnsi="宋体" w:eastAsia="宋体" w:cs="宋体"/>
                      <w:sz w:val="21"/>
                      <w:szCs w:val="21"/>
                      <w:u w:val="none"/>
                    </w:rPr>
                    <w:fldChar w:fldCharType="begin"/>
                  </w:r>
                  <w:r>
                    <w:rPr>
                      <w:rFonts w:hint="eastAsia" w:ascii="宋体" w:hAnsi="宋体" w:eastAsia="宋体" w:cs="宋体"/>
                      <w:sz w:val="21"/>
                      <w:szCs w:val="21"/>
                      <w:u w:val="none"/>
                    </w:rPr>
                    <w:instrText xml:space="preserve"> HYPERLINK "https://yz.chsi.com.cn/yztj/" \t "https://yz.ujs.edu.cn/info/1010/_self" </w:instrText>
                  </w:r>
                  <w:r>
                    <w:rPr>
                      <w:rFonts w:hint="eastAsia" w:ascii="宋体" w:hAnsi="宋体" w:eastAsia="宋体" w:cs="宋体"/>
                      <w:sz w:val="21"/>
                      <w:szCs w:val="21"/>
                      <w:u w:val="none"/>
                    </w:rPr>
                    <w:fldChar w:fldCharType="separate"/>
                  </w:r>
                  <w:r>
                    <w:rPr>
                      <w:rStyle w:val="5"/>
                      <w:rFonts w:hint="eastAsia" w:ascii="宋体" w:hAnsi="宋体" w:eastAsia="宋体" w:cs="宋体"/>
                      <w:sz w:val="21"/>
                      <w:szCs w:val="21"/>
                      <w:u w:val="none"/>
                    </w:rPr>
                    <w:t>https://yz.chsi.com.cn/yztj/</w:t>
                  </w:r>
                  <w:r>
                    <w:rPr>
                      <w:rFonts w:hint="eastAsia" w:ascii="宋体" w:hAnsi="宋体" w:eastAsia="宋体" w:cs="宋体"/>
                      <w:sz w:val="21"/>
                      <w:szCs w:val="21"/>
                      <w:u w:val="none"/>
                    </w:rPr>
                    <w:fldChar w:fldCharType="end"/>
                  </w:r>
                  <w:r>
                    <w:rPr>
                      <w:rFonts w:hint="eastAsia" w:ascii="宋体" w:hAnsi="宋体" w:eastAsia="宋体" w:cs="宋体"/>
                      <w:sz w:val="21"/>
                      <w:szCs w:val="21"/>
                    </w:rPr>
                    <w:t>）中设置（教育部调剂系统2023年4月6日正式开通），考生届时可登录“中国研究生招生信息网”（网址：</w:t>
                  </w:r>
                  <w:r>
                    <w:rPr>
                      <w:rFonts w:hint="eastAsia" w:ascii="宋体" w:hAnsi="宋体" w:eastAsia="宋体" w:cs="宋体"/>
                      <w:sz w:val="21"/>
                      <w:szCs w:val="21"/>
                      <w:u w:val="none"/>
                    </w:rPr>
                    <w:fldChar w:fldCharType="begin"/>
                  </w:r>
                  <w:r>
                    <w:rPr>
                      <w:rFonts w:hint="eastAsia" w:ascii="宋体" w:hAnsi="宋体" w:eastAsia="宋体" w:cs="宋体"/>
                      <w:sz w:val="21"/>
                      <w:szCs w:val="21"/>
                      <w:u w:val="none"/>
                    </w:rPr>
                    <w:instrText xml:space="preserve"> HYPERLINK "https://yz.chsi.com.cn/" \t "https://yz.ujs.edu.cn/info/1010/_self" </w:instrText>
                  </w:r>
                  <w:r>
                    <w:rPr>
                      <w:rFonts w:hint="eastAsia" w:ascii="宋体" w:hAnsi="宋体" w:eastAsia="宋体" w:cs="宋体"/>
                      <w:sz w:val="21"/>
                      <w:szCs w:val="21"/>
                      <w:u w:val="none"/>
                    </w:rPr>
                    <w:fldChar w:fldCharType="separate"/>
                  </w:r>
                  <w:r>
                    <w:rPr>
                      <w:rStyle w:val="5"/>
                      <w:rFonts w:hint="eastAsia" w:ascii="宋体" w:hAnsi="宋体" w:eastAsia="宋体" w:cs="宋体"/>
                      <w:sz w:val="21"/>
                      <w:szCs w:val="21"/>
                      <w:u w:val="none"/>
                    </w:rPr>
                    <w:t>http://yz.chsi.com.cn/</w:t>
                  </w:r>
                  <w:r>
                    <w:rPr>
                      <w:rFonts w:hint="eastAsia" w:ascii="宋体" w:hAnsi="宋体" w:eastAsia="宋体" w:cs="宋体"/>
                      <w:sz w:val="21"/>
                      <w:szCs w:val="21"/>
                      <w:u w:val="none"/>
                    </w:rPr>
                    <w:fldChar w:fldCharType="end"/>
                  </w:r>
                  <w:r>
                    <w:rPr>
                      <w:rFonts w:hint="eastAsia" w:ascii="宋体" w:hAnsi="宋体" w:eastAsia="宋体" w:cs="宋体"/>
                      <w:sz w:val="21"/>
                      <w:szCs w:val="21"/>
                    </w:rPr>
                    <w:t>）填写正式调剂志愿。</w:t>
                  </w:r>
                </w:p>
                <w:tbl>
                  <w:tblPr>
                    <w:tblW w:w="830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510"/>
                    <w:gridCol w:w="537"/>
                    <w:gridCol w:w="661"/>
                    <w:gridCol w:w="1411"/>
                    <w:gridCol w:w="1914"/>
                    <w:gridCol w:w="1227"/>
                    <w:gridCol w:w="720"/>
                    <w:gridCol w:w="13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70" w:hRule="atLeast"/>
                    </w:trPr>
                    <w:tc>
                      <w:tcPr>
                        <w:tcW w:w="52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b/>
                            <w:bCs/>
                            <w:i w:val="0"/>
                            <w:iCs w:val="0"/>
                            <w:color w:val="000000"/>
                            <w:kern w:val="0"/>
                            <w:sz w:val="13"/>
                            <w:szCs w:val="13"/>
                            <w:u w:val="none"/>
                            <w:bdr w:val="none" w:color="auto" w:sz="0" w:space="0"/>
                            <w:lang w:val="en-US" w:eastAsia="zh-CN" w:bidi="ar"/>
                          </w:rPr>
                          <w:t>院系所代码</w:t>
                        </w:r>
                      </w:p>
                    </w:tc>
                    <w:tc>
                      <w:tcPr>
                        <w:tcW w:w="5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b/>
                            <w:bCs/>
                            <w:i w:val="0"/>
                            <w:iCs w:val="0"/>
                            <w:color w:val="000000"/>
                            <w:kern w:val="0"/>
                            <w:sz w:val="13"/>
                            <w:szCs w:val="13"/>
                            <w:u w:val="none"/>
                            <w:bdr w:val="none" w:color="auto" w:sz="0" w:space="0"/>
                            <w:lang w:val="en-US" w:eastAsia="zh-CN" w:bidi="ar"/>
                          </w:rPr>
                          <w:t>院系所</w:t>
                        </w:r>
                        <w:r>
                          <w:rPr>
                            <w:rFonts w:hint="eastAsia" w:ascii="宋体" w:hAnsi="宋体" w:eastAsia="宋体" w:cs="宋体"/>
                            <w:b/>
                            <w:bCs/>
                            <w:i w:val="0"/>
                            <w:iCs w:val="0"/>
                            <w:color w:val="000000"/>
                            <w:kern w:val="0"/>
                            <w:sz w:val="13"/>
                            <w:szCs w:val="13"/>
                            <w:u w:val="none"/>
                            <w:bdr w:val="none" w:color="auto" w:sz="0" w:space="0"/>
                            <w:lang w:val="en-US" w:eastAsia="zh-CN" w:bidi="ar"/>
                          </w:rPr>
                          <w:br w:type="textWrapping"/>
                        </w:r>
                        <w:r>
                          <w:rPr>
                            <w:rFonts w:hint="eastAsia" w:ascii="宋体" w:hAnsi="宋体" w:eastAsia="宋体" w:cs="宋体"/>
                            <w:b/>
                            <w:bCs/>
                            <w:i w:val="0"/>
                            <w:iCs w:val="0"/>
                            <w:color w:val="000000"/>
                            <w:kern w:val="0"/>
                            <w:sz w:val="13"/>
                            <w:szCs w:val="13"/>
                            <w:u w:val="none"/>
                            <w:bdr w:val="none" w:color="auto" w:sz="0" w:space="0"/>
                            <w:lang w:val="en-US" w:eastAsia="zh-CN" w:bidi="ar"/>
                          </w:rPr>
                          <w:t>名称</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b/>
                            <w:bCs/>
                            <w:i w:val="0"/>
                            <w:iCs w:val="0"/>
                            <w:color w:val="000000"/>
                            <w:kern w:val="0"/>
                            <w:sz w:val="13"/>
                            <w:szCs w:val="13"/>
                            <w:u w:val="none"/>
                            <w:bdr w:val="none" w:color="auto" w:sz="0" w:space="0"/>
                            <w:lang w:val="en-US" w:eastAsia="zh-CN" w:bidi="ar"/>
                          </w:rPr>
                          <w:t>专业代码</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b/>
                            <w:bCs/>
                            <w:i w:val="0"/>
                            <w:iCs w:val="0"/>
                            <w:color w:val="000000"/>
                            <w:kern w:val="0"/>
                            <w:sz w:val="13"/>
                            <w:szCs w:val="13"/>
                            <w:u w:val="none"/>
                            <w:bdr w:val="none" w:color="auto" w:sz="0" w:space="0"/>
                            <w:lang w:val="en-US" w:eastAsia="zh-CN" w:bidi="ar"/>
                          </w:rPr>
                          <w:t>专业名称</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b/>
                            <w:bCs/>
                            <w:i w:val="0"/>
                            <w:iCs w:val="0"/>
                            <w:color w:val="000000"/>
                            <w:kern w:val="0"/>
                            <w:sz w:val="13"/>
                            <w:szCs w:val="13"/>
                            <w:u w:val="none"/>
                            <w:bdr w:val="none" w:color="auto" w:sz="0" w:space="0"/>
                            <w:lang w:val="en-US" w:eastAsia="zh-CN" w:bidi="ar"/>
                          </w:rPr>
                          <w:t>专业方向代码与名称</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b/>
                            <w:bCs/>
                            <w:i w:val="0"/>
                            <w:iCs w:val="0"/>
                            <w:color w:val="000000"/>
                            <w:kern w:val="0"/>
                            <w:sz w:val="13"/>
                            <w:szCs w:val="13"/>
                            <w:u w:val="none"/>
                            <w:bdr w:val="none" w:color="auto" w:sz="0" w:space="0"/>
                            <w:lang w:val="en-US" w:eastAsia="zh-CN" w:bidi="ar"/>
                          </w:rPr>
                          <w:t>学习形式</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b/>
                            <w:bCs/>
                            <w:i w:val="0"/>
                            <w:iCs w:val="0"/>
                            <w:color w:val="000000"/>
                            <w:kern w:val="0"/>
                            <w:sz w:val="13"/>
                            <w:szCs w:val="13"/>
                            <w:u w:val="none"/>
                            <w:bdr w:val="none" w:color="auto" w:sz="0" w:space="0"/>
                            <w:lang w:val="en-US" w:eastAsia="zh-CN" w:bidi="ar"/>
                          </w:rPr>
                          <w:t>学位类型</w:t>
                        </w:r>
                      </w:p>
                    </w:tc>
                    <w:tc>
                      <w:tcPr>
                        <w:tcW w:w="8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b/>
                            <w:bCs/>
                            <w:i w:val="0"/>
                            <w:iCs w:val="0"/>
                            <w:color w:val="000000"/>
                            <w:kern w:val="0"/>
                            <w:sz w:val="13"/>
                            <w:szCs w:val="13"/>
                            <w:u w:val="none"/>
                            <w:bdr w:val="none" w:color="auto" w:sz="0" w:space="0"/>
                            <w:lang w:val="en-US" w:eastAsia="zh-CN" w:bidi="ar"/>
                          </w:rPr>
                          <w:t>咨询电话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001</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机械工程学院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080200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机械工程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刘老师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0511-88790170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080300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光学工程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080400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仪器科学与技术</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085407</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仪器仪表工程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085408</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光电信息工程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085501</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机械工程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002</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农业工程学院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071300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生态学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李老师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0511-88805820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082801</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农业机械化工程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082804</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农业电气化与自动化</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085406</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控制工程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1.农业电气化与信息化工程</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085406</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控制工程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2.农业信息化与智能化技术（与江苏省农业科学院联合培养）</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085406</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控制工程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3.智慧农业及农业信息化（与国家农业信息化工程技术研究中心联合培养）</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085508</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农机装备工程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1.农业机械化与装备工程</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085508</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农机装备工程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2.农业智能装备工程(与江苏省农业科学院联合培养)</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085508</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农机装备工程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3.无人化作业技术与装备（与国家农业信息化工程技术研究中心联合培养）</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085701</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环境工程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003</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材料科学与工程学院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080500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材料科学与工程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曹老师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0511-88780190-601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080600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冶金工程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085601</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材料工程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085603</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冶金工程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004</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汽车与交通工程学院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080204</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车辆工程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陈老师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0511-88797620-2008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080700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动力工程及工程热物理</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082300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交通运输工程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082800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农业工程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085502</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车辆工程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085802</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动力工程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086102</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道路交通运输</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005</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能源与动力工程学院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080100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力学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朱老师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0511-88787393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080700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动力工程及工程热物理</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081400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土木工程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085802</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动力工程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006</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流体机械工程技术研究中心</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080700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动力工程及工程热物理</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徐老师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0511-88790278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081500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水利工程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082800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农业工程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083100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生物医学工程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085802</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动力工程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1.动力工程</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085802</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动力工程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2.动力工程（与中科院工程热物理研究所联合培养）</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085904</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农田水土工程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007</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电气信息工程学院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080800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电气工程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杨老师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0511-88780311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081000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信息与通信工程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081100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控制科学与工程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082804</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农业电气化与自动化</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085402</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通信工程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085406</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控制工程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1.控制工程</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085406</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控制工程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2.农业电气化与信息化工程</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085801</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电气工程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008</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环境与安全工程学院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077600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环境科学与工程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陈老师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0511-88790931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082800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农业工程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083000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环境科学与工程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083700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安全科学与工程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085701</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环境工程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085702</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安全工程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009</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食品与生物工程学院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082800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农业工程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郎老师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0511-88780201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085406</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控制工程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085509</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智能制造技术</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086003</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食品工程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2.食品工程(与江苏省农业科学院联合培养)</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010</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生命科学学院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071000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生物学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汪老师0511-88788933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086001</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生物技术与工程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011</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管理学院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120100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管理科学与工程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段老师 (全日制)0511-88790129；陈老师 (MBA)0511-88780378、88799751；王老师 (MEM)0511-88782060；许老师 (MPA)0511-88787607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120200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工商管理</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120400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公共管理</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1.政府管理与公共政策</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125100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工商管理</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125200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公共管理</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125601</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工程管理</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012</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财经学院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020200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应用经济学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陈老师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0511-88792100；姚老师 (MPAcc)0511-88982885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025400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国际商务</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027000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统计学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125300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会计</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013</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计算机科学与通信工程学院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081000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信息与通信工程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韩老师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0511-88790203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081100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控制科学与工程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085404</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计算机技术</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085405</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软件工程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014</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数学科学学院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071400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统计学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范老师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0511-88780161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081100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控制科学与工程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015</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土力学院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080100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力学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李老师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0511-88797036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081400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土木工程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085901</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土木工程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016</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化学化工学院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081700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化学工程与技术</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郝老师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0511-88790187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085602</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化学工程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017</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医学院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077802</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免疫学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顾老师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0511-86102012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077804</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病理学与病理生理学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100103</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病原生物学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100104</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病理学与病理生理学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100201</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内科学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100202</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儿科学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100206</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皮肤病与性病学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100210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外科学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100211</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妇产科学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100213</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耳鼻咽喉科学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100214</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肿瘤学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105102</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儿科学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105103</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老年医学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105104</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神经病学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105107</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急诊医学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105108</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重症医学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105109</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全科医学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105110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康复医学与理疗学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105113</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骨科学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105115</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妇产科学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105116</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眼科学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105117</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耳鼻咽喉科学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105119</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临床病理</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105120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临床检验诊断学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105121</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肿瘤学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105122</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放射肿瘤学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105124</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超声医学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105125</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核医学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018</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药学院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086002</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制药工程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冯老师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0511-85038451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100700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药学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1.药物化学方向</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100800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中药学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020</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外国语学院</w:t>
                        </w:r>
                      </w:p>
                    </w:tc>
                    <w:tc>
                      <w:tcPr>
                        <w:tcW w:w="67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055101</w:t>
                        </w:r>
                      </w:p>
                    </w:tc>
                    <w:tc>
                      <w:tcPr>
                        <w:tcW w:w="1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英语笔译</w:t>
                        </w:r>
                      </w:p>
                    </w:tc>
                    <w:tc>
                      <w:tcPr>
                        <w:tcW w:w="197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p>
                    </w:tc>
                    <w:tc>
                      <w:tcPr>
                        <w:tcW w:w="126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全日制、非全日制</w:t>
                        </w:r>
                      </w:p>
                    </w:tc>
                    <w:tc>
                      <w:tcPr>
                        <w:tcW w:w="7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王老师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0511-88790228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1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left"/>
                          <w:rPr>
                            <w:rFonts w:hint="eastAsia" w:ascii="微软雅黑" w:hAnsi="微软雅黑" w:eastAsia="微软雅黑" w:cs="微软雅黑"/>
                            <w:sz w:val="20"/>
                            <w:szCs w:val="20"/>
                          </w:rPr>
                        </w:pPr>
                      </w:p>
                    </w:tc>
                    <w:tc>
                      <w:tcPr>
                        <w:tcW w:w="197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left"/>
                          <w:rPr>
                            <w:rFonts w:hint="eastAsia" w:ascii="微软雅黑" w:hAnsi="微软雅黑" w:eastAsia="微软雅黑" w:cs="微软雅黑"/>
                            <w:sz w:val="20"/>
                            <w:szCs w:val="20"/>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021</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马克思主义学院</w:t>
                        </w:r>
                      </w:p>
                    </w:tc>
                    <w:tc>
                      <w:tcPr>
                        <w:tcW w:w="67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010100</w:t>
                        </w:r>
                      </w:p>
                    </w:tc>
                    <w:tc>
                      <w:tcPr>
                        <w:tcW w:w="1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哲学</w:t>
                        </w:r>
                      </w:p>
                    </w:tc>
                    <w:tc>
                      <w:tcPr>
                        <w:tcW w:w="197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杭老师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0511-88780251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1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left"/>
                          <w:rPr>
                            <w:rFonts w:hint="eastAsia" w:ascii="微软雅黑" w:hAnsi="微软雅黑" w:eastAsia="微软雅黑" w:cs="微软雅黑"/>
                            <w:sz w:val="20"/>
                            <w:szCs w:val="20"/>
                          </w:rPr>
                        </w:pPr>
                      </w:p>
                    </w:tc>
                    <w:tc>
                      <w:tcPr>
                        <w:tcW w:w="197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left"/>
                          <w:rPr>
                            <w:rFonts w:hint="eastAsia" w:ascii="微软雅黑" w:hAnsi="微软雅黑" w:eastAsia="微软雅黑" w:cs="微软雅黑"/>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left"/>
                          <w:rPr>
                            <w:rFonts w:hint="eastAsia" w:ascii="微软雅黑" w:hAnsi="微软雅黑" w:eastAsia="微软雅黑" w:cs="微软雅黑"/>
                            <w:sz w:val="20"/>
                            <w:szCs w:val="20"/>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022</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法学院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035101</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法律（非法学）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秦老师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0511-88791788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035102</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法律（法学）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023</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教师教育学院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040100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教育学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冯老师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0511-88791127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045103</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学科教学（语文）</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045104</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学科教学（数学）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045108</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学科教学（英语）</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045115</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小学教育</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045118</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学前教育</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024</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科技信息研究所</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120500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图书情报与档案管理</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蒋老师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0511-88780719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125500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图书情报</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025</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艺术学院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085507</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工业设计工程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王老师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0511-88780182-612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130400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美术学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2.造型艺术应用研究</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135107</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美术</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1.艺术品鉴藏与市场研究</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135107</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美术</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2.书法与篆刻</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135107</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美术</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3.中国画</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135107</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美术</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4.油画</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135108</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艺术设计</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1.视觉与信息设计</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135108</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艺术设计</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2.公共环境艺术设计</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135108</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艺术设计</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3.材料与装饰艺术设计</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135108</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艺术设计</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4.数字化艺术设计</w:t>
                        </w: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026</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文学院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045300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汉语国际教育</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袁老师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0511-88781890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050100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中国语言文学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027</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物理与电子工程学院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070200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物理学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苏老师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0511－88788059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077400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电子科学与技术</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085408</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光电信息工程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028</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汽车工程研究院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080204</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车辆工程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王老师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0511-88782086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082300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交通运输工程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085410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人工智能</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nil"/>
                          <w:left w:val="nil"/>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085502</w:t>
                        </w:r>
                      </w:p>
                    </w:tc>
                    <w:tc>
                      <w:tcPr>
                        <w:tcW w:w="1450" w:type="dxa"/>
                        <w:tcBorders>
                          <w:top w:val="nil"/>
                          <w:left w:val="single" w:color="000000" w:sz="4" w:space="0"/>
                          <w:bottom w:val="single" w:color="000000" w:sz="4" w:space="0"/>
                          <w:right w:val="nil"/>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车辆工程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086102</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道路交通运输</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029</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能源研究院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070300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化学</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季老师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0511－88799500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080700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动力工程及工程热物理</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081700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化学工程与技术</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085602</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化学工程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085802</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动力工程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030</w:t>
                        </w:r>
                      </w:p>
                    </w:tc>
                    <w:tc>
                      <w:tcPr>
                        <w:tcW w:w="5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2"/>
                            <w:szCs w:val="12"/>
                            <w:u w:val="none"/>
                            <w:bdr w:val="none" w:color="auto" w:sz="0" w:space="0"/>
                            <w:lang w:val="en-US" w:eastAsia="zh-CN" w:bidi="ar"/>
                          </w:rPr>
                          <w:t>克兰菲尔德未来技术研究生院</w:t>
                        </w: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082800</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农业工程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学术学位</w:t>
                        </w:r>
                      </w:p>
                    </w:tc>
                    <w:tc>
                      <w:tcPr>
                        <w:tcW w:w="84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赵老师</w:t>
                        </w:r>
                        <w:r>
                          <w:rPr>
                            <w:rFonts w:hint="eastAsia" w:ascii="宋体" w:hAnsi="宋体" w:eastAsia="宋体" w:cs="宋体"/>
                            <w:i w:val="0"/>
                            <w:iCs w:val="0"/>
                            <w:color w:val="000000"/>
                            <w:kern w:val="0"/>
                            <w:sz w:val="13"/>
                            <w:szCs w:val="13"/>
                            <w:u w:val="none"/>
                            <w:bdr w:val="none" w:color="auto" w:sz="0" w:space="0"/>
                            <w:lang w:val="en-US" w:eastAsia="zh-CN" w:bidi="ar"/>
                          </w:rPr>
                          <w:br w:type="textWrapping"/>
                        </w:r>
                        <w:r>
                          <w:rPr>
                            <w:rFonts w:hint="eastAsia" w:ascii="宋体" w:hAnsi="宋体" w:eastAsia="宋体" w:cs="宋体"/>
                            <w:i w:val="0"/>
                            <w:iCs w:val="0"/>
                            <w:color w:val="000000"/>
                            <w:kern w:val="0"/>
                            <w:sz w:val="13"/>
                            <w:szCs w:val="13"/>
                            <w:u w:val="none"/>
                            <w:bdr w:val="none" w:color="auto" w:sz="0" w:space="0"/>
                            <w:lang w:val="en-US" w:eastAsia="zh-CN" w:bidi="ar"/>
                          </w:rPr>
                          <w:t>0511-88781207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085501</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机械工程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2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085701</w:t>
                        </w:r>
                      </w:p>
                    </w:tc>
                    <w:tc>
                      <w:tcPr>
                        <w:tcW w:w="1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环境工程</w:t>
                        </w:r>
                      </w:p>
                    </w:tc>
                    <w:tc>
                      <w:tcPr>
                        <w:tcW w:w="19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全日制</w:t>
                        </w:r>
                      </w:p>
                    </w:tc>
                    <w:tc>
                      <w:tcPr>
                        <w:tcW w:w="7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微软雅黑" w:hAnsi="微软雅黑" w:eastAsia="微软雅黑" w:cs="微软雅黑"/>
                            <w:sz w:val="20"/>
                            <w:szCs w:val="20"/>
                          </w:rPr>
                        </w:pPr>
                        <w:r>
                          <w:rPr>
                            <w:rFonts w:hint="eastAsia" w:ascii="宋体" w:hAnsi="宋体" w:eastAsia="宋体" w:cs="宋体"/>
                            <w:i w:val="0"/>
                            <w:iCs w:val="0"/>
                            <w:color w:val="000000"/>
                            <w:kern w:val="0"/>
                            <w:sz w:val="13"/>
                            <w:szCs w:val="13"/>
                            <w:u w:val="none"/>
                            <w:bdr w:val="none" w:color="auto" w:sz="0" w:space="0"/>
                            <w:lang w:val="en-US" w:eastAsia="zh-CN" w:bidi="ar"/>
                          </w:rPr>
                          <w:t>专业学位</w:t>
                        </w:r>
                      </w:p>
                    </w:tc>
                    <w:tc>
                      <w:tcPr>
                        <w:tcW w:w="8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微软雅黑" w:hAnsi="微软雅黑" w:eastAsia="微软雅黑" w:cs="微软雅黑"/>
                            <w:sz w:val="20"/>
                            <w:szCs w:val="20"/>
                          </w:rPr>
                        </w:pPr>
                      </w:p>
                    </w:tc>
                  </w:tr>
                </w:tbl>
                <w:p>
                  <w:pPr>
                    <w:pStyle w:val="2"/>
                    <w:keepNext w:val="0"/>
                    <w:keepLines w:val="0"/>
                    <w:widowControl/>
                    <w:suppressLineNumbers w:val="0"/>
                    <w:spacing w:line="340" w:lineRule="atLeast"/>
                  </w:pPr>
                </w:p>
                <w:p>
                  <w:pPr>
                    <w:pStyle w:val="2"/>
                    <w:keepNext w:val="0"/>
                    <w:keepLines w:val="0"/>
                    <w:widowControl/>
                    <w:suppressLineNumbers w:val="0"/>
                    <w:spacing w:line="630" w:lineRule="atLeast"/>
                    <w:ind w:left="0" w:firstLine="320"/>
                  </w:pPr>
                </w:p>
              </w:tc>
            </w:tr>
          </w:tbl>
          <w:p>
            <w:pPr>
              <w:pStyle w:val="7"/>
            </w:pPr>
            <w:r>
              <w:t>窗体底端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AD94E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 w:type="paragraph" w:styleId="6">
    <w:name w:val=""/>
    <w:basedOn w:val="1"/>
    <w:next w:val="1"/>
    <w:uiPriority w:val="0"/>
    <w:pPr>
      <w:pBdr>
        <w:bottom w:val="single" w:color="auto" w:sz="6" w:space="1"/>
      </w:pBdr>
      <w:jc w:val="center"/>
    </w:pPr>
    <w:rPr>
      <w:rFonts w:ascii="Arial" w:eastAsia="宋体"/>
      <w:vanish/>
      <w:sz w:val="16"/>
    </w:rPr>
  </w:style>
  <w:style w:type="paragraph" w:styleId="7">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3017</Words>
  <Characters>4355</Characters>
  <Lines>0</Lines>
  <Paragraphs>0</Paragraphs>
  <TotalTime>0</TotalTime>
  <ScaleCrop>false</ScaleCrop>
  <LinksUpToDate>false</LinksUpToDate>
  <CharactersWithSpaces>4363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2023-04-04T01:35:13Z</dcterms:created>
  <dc:creator>Administrator</dc:creator>
  <cp:lastModifiedBy>王英</cp:lastModifiedBy>
  <dcterms:modified xsi:type="dcterms:W3CDTF">2023-04-04T01:35:27Z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BDE583B1DBAF47769EF533FA00C8A25A</vt:lpwstr>
  </property>
</Properties>
</file>