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AF0002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AF0002"/>
          <w:sz w:val="20"/>
          <w:szCs w:val="20"/>
          <w:bdr w:val="none" w:color="auto" w:sz="0" w:space="0"/>
        </w:rPr>
        <w:t>机电工程学院2023年硕士研究生招收调剂公告（第三批次）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b w:val="0"/>
          <w:bCs w:val="0"/>
          <w:sz w:val="12"/>
          <w:szCs w:val="12"/>
        </w:rPr>
      </w:pPr>
      <w:r>
        <w:rPr>
          <w:b w:val="0"/>
          <w:bCs w:val="0"/>
          <w:color w:val="787878"/>
          <w:sz w:val="12"/>
          <w:szCs w:val="12"/>
          <w:bdr w:val="none" w:color="auto" w:sz="0" w:space="0"/>
        </w:rPr>
        <w:t>时间：2023-04-13浏览：247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   根据拟录取考生人数与招生计划情况，我院职业技术教育专业（非全日制，045120）、接收调剂考生，将于2023年4月13日下午19:00开放硕士研究生调剂系统，开放时间为15小时。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    届时符合条件且有调剂意愿的考生应在规定时间登录“中国研究生招生信息网”（公网网址：https://yz.chsi.com.cn/，教育网址：http://yz.chsi.cn）按要求填报调剂志愿信息。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特此公告。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right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                            江苏师范大学机电工程学院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right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                                  2023年4月13日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A9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2023-05-12T06:06:35Z</dcterms:created>
  <dc:creator>Administrator</dc:creator>
  <cp:lastModifiedBy>王英</cp:lastModifiedBy>
  <dcterms:modified xsi:type="dcterms:W3CDTF">2023-05-12T06:06:40Z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D3E5675A28144D588A4811996E2D6B44</vt:lpwstr>
  </property>
</Properties>
</file>