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江苏海洋大学MPA教育中心2023年硕士研究生招生考试非全日制考生调剂复试成绩公示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2023-04-07 16:55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经江苏海洋大学MPA教育中心研究生招生工作领导小组审核通过，现将MPA教育中心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202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年硕士研究生招生考试非全日制考生调剂复试成绩公示如下：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</w:p>
          <w:tbl>
            <w:tblPr>
              <w:tblW w:w="588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00"/>
              <w:gridCol w:w="1080"/>
              <w:gridCol w:w="590"/>
              <w:gridCol w:w="900"/>
              <w:gridCol w:w="550"/>
              <w:gridCol w:w="890"/>
              <w:gridCol w:w="720"/>
              <w:gridCol w:w="7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6"/>
                      <w:szCs w:val="16"/>
                      <w:bdr w:val="none" w:color="auto" w:sz="0" w:space="0"/>
                    </w:rPr>
                    <w:t>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6"/>
                      <w:szCs w:val="16"/>
                      <w:bdr w:val="none" w:color="auto" w:sz="0" w:space="0"/>
                    </w:rPr>
                    <w:t>号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报考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专业（代码）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思想政治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素质和品德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考核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初试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（总分300分）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复试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（总分300分）/专业课笔试成绩</w:t>
                  </w:r>
                </w:p>
              </w:tc>
              <w:tc>
                <w:tcPr>
                  <w:tcW w:w="7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综合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0"/>
                      <w:szCs w:val="10"/>
                      <w:bdr w:val="none" w:color="auto" w:sz="0" w:space="0"/>
                    </w:rPr>
                    <w:t>=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（初试总成绩×0.6）/</w:t>
                  </w:r>
                  <w:r>
                    <w:rPr>
                      <w:rStyle w:val="5"/>
                      <w:sz w:val="10"/>
                      <w:szCs w:val="10"/>
                      <w:bdr w:val="none" w:color="auto" w:sz="0" w:space="0"/>
                    </w:rPr>
                    <w:t>3 +(复试总成绩×0.4) /3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104973400341056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李长青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194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230.8/79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69.57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116413211401347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卢俊孜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175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254.6/86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68.95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116413211400408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张瑶瑶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175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253.6/82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68.81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116413211401589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相恒富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194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224.4/80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68.72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116413211401475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唐亚楠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180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240/85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68.00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116413211401741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张培培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177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243.4/70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67.85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116413211401459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孙雅达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181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236.8/80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67.77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3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104973400341055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张旭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公共管理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16"/>
                      <w:szCs w:val="16"/>
                      <w:bdr w:val="none" w:color="auto" w:sz="0" w:space="0"/>
                    </w:rPr>
                    <w:t>125200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sz w:val="16"/>
                      <w:szCs w:val="16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183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233.6/72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sz w:val="15"/>
                      <w:szCs w:val="15"/>
                      <w:bdr w:val="none" w:color="auto" w:sz="0" w:space="0"/>
                    </w:rPr>
                    <w:t>67.75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如对以上结果有异议的，请于2023年4月10日前向MPA教育中心招生工作监督小组反映，联系电话：0518-85895543。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   江苏海洋大学MPA教育中心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   2023年4月7日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D5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2023-05-12T07:16:00Z</dcterms:created>
  <dc:creator>Administrator</dc:creator>
  <cp:lastModifiedBy>王英</cp:lastModifiedBy>
  <dcterms:modified xsi:type="dcterms:W3CDTF">2023-05-12T07:16:08Z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AED9012A2C8B493197B0DC8EDFAB7813</vt:lpwstr>
  </property>
</Properties>
</file>