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tblCellSpacing w:w="0" w:type="dxa"/>
        </w:trPr>
        <w:tc>
          <w:tcPr>
            <w:tcW w:w="0" w:type="auto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pStyle w:val="7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江苏海洋大学药学院2023年硕士研究生调剂公告与复试时间安排（第二批）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2023-04-14 18:26 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根据招生计划数，我院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海洋科学</w:t>
                  </w:r>
                  <w:r>
                    <w:rPr>
                      <w:rStyle w:val="5"/>
                      <w:rFonts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(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海洋化学方向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)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070700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）、中药学（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）、制药工程（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086002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）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专业研究生招生有一定数量的调剂名额，欢迎符合条件的优秀考生调剂到我院。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left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一、考生调剂基本条件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1.符合调入专业的报考条件。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2.初试成绩（含加分，下同）总分、单科分均达到教育部规定的一区《2023年全国硕士研究生招生考试考生进入复试的初试成绩基本要求》。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3.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调入专业与第一志愿报考专业相同或相近，应在同一学科门类范围内。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4.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初试科目与调入专业初试科目相同或相近。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5.符合教育部《2023年全国硕士研究生招生工作管理规定》其他调剂要求</w:t>
                  </w:r>
                  <w:r>
                    <w:rPr>
                      <w:rFonts w:hint="eastAsia" w:ascii="微软雅黑" w:hAnsi="微软雅黑" w:eastAsia="微软雅黑" w:cs="微软雅黑"/>
                      <w:sz w:val="19"/>
                      <w:szCs w:val="19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left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二、调剂程序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详见《江苏海洋大学药学院2023年硕士研究生招生复试和录取工作实施细则》。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left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三、时间安排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1.考生现场报到时间、地点：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时间：2023年4月17日（周一）上午8：30-12：00；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地点：江苏省连云港市海州区苍梧路59号 文达楼1106；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请考生按照《江苏海洋大学药学院2023年硕士研究生招生复试和录取工作实施细则》要求携带资格审查相关材料。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280" w:firstLine="0"/>
                    <w:jc w:val="left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2.专业课笔试时间：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2023年4月17日（周一）下午14：30-16：30；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280" w:firstLine="0"/>
                    <w:jc w:val="left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3.综合面试时间：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2023年4月18日（周二）全天（具体安排在考生现场报到时告知）。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其他未尽事宜或疑问欢迎考生咨询。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咨询与联系方式：余老师：17826536990。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280"/>
                    <w:jc w:val="left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3360"/>
                    <w:jc w:val="righ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江苏海洋大学药学院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righ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2023年4月14日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08" w:lineRule="atLeas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【</w: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"javascript:window.opener=null;window.open('','_self');window.close();" </w:instrTex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u w:val="none"/>
                      <w:bdr w:val="none" w:color="auto" w:sz="0" w:space="0"/>
                    </w:rPr>
                    <w:t>关闭窗口</w: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pStyle w:val="8"/>
            </w:pPr>
            <w:r>
              <w:t>窗体底端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60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2023-05-12T07:41:55Z</dcterms:created>
  <dc:creator>Administrator</dc:creator>
  <cp:lastModifiedBy>王英</cp:lastModifiedBy>
  <dcterms:modified xsi:type="dcterms:W3CDTF">2023-05-12T07:42:01Z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9D8789696B704B459D4C68020181BBEF</vt:lpwstr>
  </property>
</Properties>
</file>