
<file path=[Content_Types].xml><?xml version="1.0" encoding="utf-8"?>
<Types xmlns="http://schemas.openxmlformats.org/package/2006/content-types">
  <Default Extension="jpeg" ContentType="image/jpeg"/>
  <Default Extension="JPG" ContentType="image/.jpg"/>
  <Default Extension="gif" ContentType="image/gi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3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6" w:hRule="atLeast"/>
        </w:trPr>
        <w:tc>
          <w:tcPr>
            <w:tcW w:w="0" w:type="auto"/>
            <w:shd w:val="clear" w:color="auto" w:fill="F3F3F3"/>
            <w:tcMar>
              <w:top w:w="360" w:type="dxa"/>
              <w:bottom w:w="180" w:type="dxa"/>
            </w:tcMar>
            <w:vAlign w:val="center"/>
          </w:tcPr>
          <w:p>
            <w:pPr>
              <w:keepNext w:val="0"/>
              <w:keepLines w:val="0"/>
              <w:widowControl/>
              <w:suppressLineNumbers w:val="0"/>
              <w:spacing w:before="0" w:beforeAutospacing="0" w:after="0" w:afterAutospacing="0"/>
              <w:ind w:left="0" w:right="0"/>
              <w:jc w:val="center"/>
              <w:rPr>
                <w:rFonts w:ascii="微软雅黑" w:hAnsi="微软雅黑" w:eastAsia="微软雅黑" w:cs="微软雅黑"/>
                <w:b/>
                <w:bCs/>
                <w:i w:val="0"/>
                <w:iCs w:val="0"/>
                <w:caps w:val="0"/>
                <w:color w:val="000000"/>
                <w:spacing w:val="0"/>
                <w:sz w:val="32"/>
                <w:szCs w:val="32"/>
              </w:rPr>
            </w:pPr>
            <w:r>
              <w:rPr>
                <w:rFonts w:hint="eastAsia" w:ascii="微软雅黑" w:hAnsi="微软雅黑" w:eastAsia="微软雅黑" w:cs="微软雅黑"/>
                <w:b/>
                <w:bCs/>
                <w:i w:val="0"/>
                <w:iCs w:val="0"/>
                <w:caps w:val="0"/>
                <w:color w:val="000000"/>
                <w:spacing w:val="0"/>
                <w:kern w:val="0"/>
                <w:sz w:val="32"/>
                <w:szCs w:val="32"/>
                <w:bdr w:val="none" w:color="auto" w:sz="0" w:space="0"/>
                <w:lang w:val="en-US" w:eastAsia="zh-CN" w:bidi="ar"/>
              </w:rPr>
              <w:t>江西农业大学2023年硕士研究生一志愿上线考生须加试名单及相关要求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5" w:hRule="atLeast"/>
        </w:trPr>
        <w:tc>
          <w:tcPr>
            <w:tcW w:w="0" w:type="auto"/>
            <w:shd w:val="clear"/>
            <w:vAlign w:val="center"/>
          </w:tcPr>
          <w:p>
            <w:pPr>
              <w:jc w:val="left"/>
              <w:rPr>
                <w:rFonts w:hint="eastAsia" w:ascii="微软雅黑" w:hAnsi="微软雅黑" w:eastAsia="微软雅黑" w:cs="微软雅黑"/>
                <w:i w:val="0"/>
                <w:iCs w:val="0"/>
                <w:caps w:val="0"/>
                <w:color w:val="000000"/>
                <w:spacing w:val="0"/>
                <w:sz w:val="14"/>
                <w:szCs w:val="14"/>
              </w:rPr>
            </w:pPr>
          </w:p>
        </w:tc>
      </w:tr>
    </w:tbl>
    <w:p>
      <w:pPr>
        <w:rPr>
          <w:vanish/>
          <w:sz w:val="24"/>
          <w:szCs w:val="24"/>
        </w:rPr>
      </w:pPr>
    </w:p>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3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0" w:hRule="atLeast"/>
        </w:trPr>
        <w:tc>
          <w:tcPr>
            <w:tcW w:w="0" w:type="auto"/>
            <w:shd w:val="clear" w:color="auto" w:fill="FAFAFA"/>
            <w:vAlign w:val="top"/>
          </w:tcPr>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3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360" w:hRule="atLeast"/>
              </w:trPr>
              <w:tc>
                <w:tcPr>
                  <w:tcW w:w="0" w:type="auto"/>
                  <w:shd w:val="clear"/>
                  <w:tcMar>
                    <w:top w:w="96"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8"/>
                      <w:szCs w:val="18"/>
                    </w:rPr>
                  </w:pPr>
                  <w:r>
                    <w:rPr>
                      <w:rFonts w:ascii="宋体" w:hAnsi="宋体" w:eastAsia="宋体" w:cs="宋体"/>
                      <w:color w:val="999999"/>
                      <w:kern w:val="0"/>
                      <w:sz w:val="18"/>
                      <w:szCs w:val="18"/>
                      <w:bdr w:val="none" w:color="auto" w:sz="0" w:space="0"/>
                      <w:lang w:val="en-US" w:eastAsia="zh-CN" w:bidi="ar"/>
                    </w:rPr>
                    <w:t>发布时间: 2023-03-31 访问次数： 9072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0" w:hRule="atLeast"/>
              </w:trPr>
              <w:tc>
                <w:tcPr>
                  <w:tcW w:w="0" w:type="auto"/>
                  <w:shd w:val="clear"/>
                  <w:tcMar>
                    <w:top w:w="96" w:type="dxa"/>
                  </w:tcMar>
                  <w:vAlign w:val="top"/>
                </w:tcPr>
                <w:tbl>
                  <w:tblPr>
                    <w:tblW w:w="4800" w:type="pct"/>
                    <w:jc w:val="center"/>
                    <w:tblBorders>
                      <w:top w:val="outset" w:color="F1F1F1" w:sz="18" w:space="0"/>
                      <w:left w:val="outset" w:color="F1F1F1" w:sz="18" w:space="0"/>
                      <w:bottom w:val="outset" w:color="F1F1F1" w:sz="18" w:space="0"/>
                      <w:right w:val="outset" w:color="F1F1F1" w:sz="18" w:space="0"/>
                      <w:insideH w:val="outset" w:color="F1F1F1" w:sz="18" w:space="0"/>
                      <w:insideV w:val="outset" w:color="F1F1F1" w:sz="18" w:space="0"/>
                    </w:tblBorders>
                    <w:shd w:val="clear"/>
                    <w:tblLayout w:type="autofit"/>
                    <w:tblCellMar>
                      <w:top w:w="0" w:type="dxa"/>
                      <w:left w:w="0" w:type="dxa"/>
                      <w:bottom w:w="0" w:type="dxa"/>
                      <w:right w:w="0" w:type="dxa"/>
                    </w:tblCellMar>
                  </w:tblPr>
                  <w:tblGrid>
                    <w:gridCol w:w="8261"/>
                  </w:tblGrid>
                  <w:tr>
                    <w:tblPrEx>
                      <w:tblBorders>
                        <w:top w:val="outset" w:color="F1F1F1" w:sz="18" w:space="0"/>
                        <w:left w:val="outset" w:color="F1F1F1" w:sz="18" w:space="0"/>
                        <w:bottom w:val="outset" w:color="F1F1F1" w:sz="18" w:space="0"/>
                        <w:right w:val="outset" w:color="F1F1F1" w:sz="18" w:space="0"/>
                        <w:insideH w:val="outset" w:color="F1F1F1" w:sz="18" w:space="0"/>
                        <w:insideV w:val="outset" w:color="F1F1F1" w:sz="18" w:space="0"/>
                      </w:tblBorders>
                      <w:shd w:val="clear"/>
                      <w:tblCellMar>
                        <w:top w:w="0" w:type="dxa"/>
                        <w:left w:w="0" w:type="dxa"/>
                        <w:bottom w:w="0" w:type="dxa"/>
                        <w:right w:w="0" w:type="dxa"/>
                      </w:tblCellMar>
                    </w:tblPrEx>
                    <w:trPr>
                      <w:jc w:val="center"/>
                    </w:trPr>
                    <w:tc>
                      <w:tcPr>
                        <w:tcW w:w="0" w:type="auto"/>
                        <w:tcBorders>
                          <w:top w:val="outset" w:color="F1F1F1" w:sz="6" w:space="0"/>
                          <w:left w:val="outset" w:color="F1F1F1" w:sz="6" w:space="0"/>
                          <w:bottom w:val="outset" w:color="F1F1F1" w:sz="6" w:space="0"/>
                          <w:right w:val="outset" w:color="F1F1F1" w:sz="6" w:space="0"/>
                        </w:tcBorders>
                        <w:shd w:val="clear"/>
                        <w:vAlign w:val="center"/>
                      </w:tcPr>
                      <w:tbl>
                        <w:tblPr>
                          <w:tblW w:w="11471" w:type="dxa"/>
                          <w:tblInd w:w="0" w:type="dxa"/>
                          <w:tblBorders>
                            <w:top w:val="single" w:color="E1E1E1" w:sz="4" w:space="0"/>
                            <w:left w:val="single" w:color="E1E1E1" w:sz="4" w:space="0"/>
                            <w:bottom w:val="single" w:color="E1E1E1" w:sz="4" w:space="0"/>
                            <w:right w:val="single" w:color="E1E1E1" w:sz="4"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1471"/>
                        </w:tblGrid>
                        <w:tr>
                          <w:tblPrEx>
                            <w:tblBorders>
                              <w:top w:val="single" w:color="E1E1E1" w:sz="4" w:space="0"/>
                              <w:left w:val="single" w:color="E1E1E1" w:sz="4" w:space="0"/>
                              <w:bottom w:val="single" w:color="E1E1E1" w:sz="4" w:space="0"/>
                              <w:right w:val="single" w:color="E1E1E1" w:sz="4"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shd w:val="clear" w:color="auto" w:fill="FFFFFF"/>
                              <w:vAlign w:val="center"/>
                            </w:tcPr>
                            <w:tbl>
                              <w:tblPr>
                                <w:tblW w:w="500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146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jc w:val="center"/>
                                </w:trPr>
                                <w:tc>
                                  <w:tcPr>
                                    <w:tcW w:w="0" w:type="auto"/>
                                    <w:shd w:val="clear"/>
                                    <w:vAlign w:val="top"/>
                                  </w:tcPr>
                                  <w:p>
                                    <w:pPr>
                                      <w:keepNext w:val="0"/>
                                      <w:keepLines w:val="0"/>
                                      <w:widowControl/>
                                      <w:suppressLineNumbers w:val="0"/>
                                      <w:spacing w:before="0" w:beforeAutospacing="0" w:after="0" w:afterAutospacing="0"/>
                                      <w:ind w:left="0" w:right="0"/>
                                      <w:jc w:val="left"/>
                                      <w:rPr>
                                        <w:sz w:val="18"/>
                                        <w:szCs w:val="18"/>
                                      </w:rPr>
                                    </w:pPr>
                                  </w:p>
                                  <w:tbl>
                                    <w:tblPr>
                                      <w:tblW w:w="480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100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401" w:hRule="atLeast"/>
                                        <w:jc w:val="center"/>
                                      </w:trPr>
                                      <w:tc>
                                        <w:tcPr>
                                          <w:tcW w:w="0" w:type="auto"/>
                                          <w:tcBorders>
                                            <w:left w:val="single" w:color="CCCCCC" w:sz="4" w:space="0"/>
                                            <w:bottom w:val="single" w:color="CCCCCC" w:sz="4" w:space="0"/>
                                            <w:right w:val="single" w:color="CCCCCC" w:sz="4" w:space="0"/>
                                          </w:tcBorders>
                                          <w:shd w:val="clear" w:color="auto" w:fill="FFFFFF"/>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both"/>
                                          </w:pPr>
                                          <w:r>
                                            <w:rPr>
                                              <w:rFonts w:asciiTheme="minorHAnsi" w:hAnsiTheme="minorHAnsi" w:eastAsiaTheme="minorEastAsia" w:cstheme="minorBidi"/>
                                              <w:i w:val="0"/>
                                              <w:iCs w:val="0"/>
                                              <w:color w:val="4A4A4A"/>
                                              <w:kern w:val="0"/>
                                              <w:sz w:val="19"/>
                                              <w:szCs w:val="19"/>
                                              <w:bdr w:val="none" w:color="auto" w:sz="0" w:space="0"/>
                                              <w:lang w:val="en-US" w:eastAsia="zh-CN" w:bidi="ar"/>
                                            </w:rPr>
                                            <w:t>各位考生：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384"/>
                                            <w:jc w:val="both"/>
                                          </w:pPr>
                                          <w:r>
                                            <w:rPr>
                                              <w:rFonts w:hint="eastAsia" w:ascii="宋体" w:hAnsi="宋体" w:eastAsia="宋体" w:cs="宋体"/>
                                              <w:i w:val="0"/>
                                              <w:iCs w:val="0"/>
                                              <w:color w:val="4A4A4A"/>
                                              <w:kern w:val="0"/>
                                              <w:sz w:val="19"/>
                                              <w:szCs w:val="19"/>
                                              <w:bdr w:val="none" w:color="auto" w:sz="0" w:space="0"/>
                                              <w:lang w:val="en-US" w:eastAsia="zh-CN" w:bidi="ar"/>
                                            </w:rPr>
                                            <w:t>经我校研究生招生工作领导小组研究决定，一志愿考生进入复试的名单已公布。根据我校《2023年硕士研究生招生简章》中的规定：“同等学力报考人员、成人教育应届本科毕业生及复试时尚未取得本科毕业证书的自考和网络教育考生在复试时须加试两门大学本科主干课程”，具体加试科目请查阅我校招生简章。</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384"/>
                                            <w:jc w:val="both"/>
                                          </w:pPr>
                                          <w:r>
                                            <w:rPr>
                                              <w:rFonts w:hint="eastAsia" w:ascii="宋体" w:hAnsi="宋体" w:eastAsia="宋体" w:cs="宋体"/>
                                              <w:i w:val="0"/>
                                              <w:iCs w:val="0"/>
                                              <w:color w:val="4A4A4A"/>
                                              <w:kern w:val="0"/>
                                              <w:sz w:val="19"/>
                                              <w:szCs w:val="19"/>
                                              <w:bdr w:val="none" w:color="auto" w:sz="0" w:space="0"/>
                                              <w:lang w:val="en-US" w:eastAsia="zh-CN" w:bidi="ar"/>
                                            </w:rPr>
                                            <w:t>已被列出须加试考生名单（见附件1），截止在2023年3月31日前尚未获得本科毕业生证书的考生须加试两门科目。</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384"/>
                                            <w:jc w:val="both"/>
                                          </w:pPr>
                                          <w:r>
                                            <w:rPr>
                                              <w:rFonts w:hint="eastAsia" w:ascii="宋体" w:hAnsi="宋体" w:eastAsia="宋体" w:cs="宋体"/>
                                              <w:i w:val="0"/>
                                              <w:iCs w:val="0"/>
                                              <w:color w:val="4A4A4A"/>
                                              <w:kern w:val="0"/>
                                              <w:sz w:val="19"/>
                                              <w:szCs w:val="19"/>
                                              <w:bdr w:val="none" w:color="auto" w:sz="0" w:space="0"/>
                                              <w:lang w:val="en-US" w:eastAsia="zh-CN" w:bidi="ar"/>
                                            </w:rPr>
                                            <w:t>如已经在2023年3月31日前获得了本科毕业证书的考生，请在2023年4月1日下午5:00前，把本人以下材料的电子扫描件：1.准考证，2.身份证，3.本科毕业证书，4.《教育部本科学历电子注册备案表》，发送至我校研招办工作人员邮箱：896989297@qq.com，邮件命名：姓名+报考专业+加试+手机号，逾期未发的考生必须参加我校的加试考试，否则取消录取资格。</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384"/>
                                            <w:jc w:val="both"/>
                                          </w:pPr>
                                          <w:r>
                                            <w:rPr>
                                              <w:rFonts w:asciiTheme="minorHAnsi" w:hAnsiTheme="minorHAnsi" w:eastAsiaTheme="minorEastAsia" w:cstheme="minorBidi"/>
                                              <w:i w:val="0"/>
                                              <w:iCs w:val="0"/>
                                              <w:color w:val="4A4A4A"/>
                                              <w:kern w:val="0"/>
                                              <w:sz w:val="19"/>
                                              <w:szCs w:val="19"/>
                                              <w:bdr w:val="none" w:color="auto" w:sz="0" w:space="0"/>
                                              <w:lang w:val="en-US" w:eastAsia="zh-CN" w:bidi="ar"/>
                                            </w:rPr>
                                            <w:t>加试考试采取现场笔试的形式，</w:t>
                                          </w:r>
                                          <w:r>
                                            <w:rPr>
                                              <w:rStyle w:val="5"/>
                                              <w:rFonts w:asciiTheme="minorHAnsi" w:hAnsiTheme="minorHAnsi" w:eastAsiaTheme="minorEastAsia" w:cstheme="minorBidi"/>
                                              <w:i w:val="0"/>
                                              <w:iCs w:val="0"/>
                                              <w:color w:val="FF0000"/>
                                              <w:kern w:val="0"/>
                                              <w:sz w:val="19"/>
                                              <w:szCs w:val="19"/>
                                              <w:bdr w:val="none" w:color="auto" w:sz="0" w:space="0"/>
                                              <w:lang w:val="en-US" w:eastAsia="zh-CN" w:bidi="ar"/>
                                            </w:rPr>
                                            <w:t>考试时间为：2023年4月3日（18:00－22:00），考试地点：研究生院（致达楼）三楼智慧教室</w:t>
                                          </w:r>
                                          <w:r>
                                            <w:rPr>
                                              <w:rFonts w:hint="eastAsia" w:ascii="宋体" w:hAnsi="宋体" w:eastAsia="宋体" w:cs="宋体"/>
                                              <w:i w:val="0"/>
                                              <w:iCs w:val="0"/>
                                              <w:color w:val="4A4A4A"/>
                                              <w:kern w:val="0"/>
                                              <w:sz w:val="19"/>
                                              <w:szCs w:val="19"/>
                                              <w:bdr w:val="none" w:color="auto" w:sz="0" w:space="0"/>
                                              <w:lang w:val="en-US" w:eastAsia="zh-CN" w:bidi="ar"/>
                                            </w:rPr>
                                            <w:t>，具体要求请考生及时查阅我校研究生院官网发布《关于江西农业大学2023年硕士研究生招生入学考试复试加试工作的通知》。请加试考生尽快加入江西农业大学2023年加试考试钉钉群二维码。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jc w:val="center"/>
                                          </w:pPr>
                                          <w:r>
                                            <w:rPr>
                                              <w:i w:val="0"/>
                                              <w:iCs w:val="0"/>
                                              <w:color w:val="4A4A4A"/>
                                              <w:sz w:val="18"/>
                                              <w:szCs w:val="18"/>
                                              <w:bdr w:val="none" w:color="auto" w:sz="0" w:space="0"/>
                                            </w:rPr>
                                            <w:drawing>
                                              <wp:inline distT="0" distB="0" distL="114300" distR="114300">
                                                <wp:extent cx="952500" cy="942975"/>
                                                <wp:effectExtent l="0" t="0" r="7620" b="1905"/>
                                                <wp:docPr id="2"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IMG_256"/>
                                                        <pic:cNvPicPr>
                                                          <a:picLocks noChangeAspect="1"/>
                                                        </pic:cNvPicPr>
                                                      </pic:nvPicPr>
                                                      <pic:blipFill>
                                                        <a:blip r:embed="rId4"/>
                                                        <a:stretch>
                                                          <a:fillRect/>
                                                        </a:stretch>
                                                      </pic:blipFill>
                                                      <pic:spPr>
                                                        <a:xfrm>
                                                          <a:off x="0" y="0"/>
                                                          <a:ext cx="952500" cy="942975"/>
                                                        </a:xfrm>
                                                        <a:prstGeom prst="rect">
                                                          <a:avLst/>
                                                        </a:prstGeom>
                                                        <a:noFill/>
                                                        <a:ln w="9525">
                                                          <a:noFill/>
                                                        </a:ln>
                                                      </pic:spPr>
                                                    </pic:pic>
                                                  </a:graphicData>
                                                </a:graphic>
                                              </wp:inline>
                                            </w:drawing>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firstLine="384"/>
                                            <w:jc w:val="both"/>
                                          </w:pPr>
                                          <w:r>
                                            <w:rPr>
                                              <w:rFonts w:hint="eastAsia" w:ascii="宋体" w:hAnsi="宋体" w:eastAsia="宋体" w:cs="宋体"/>
                                              <w:i w:val="0"/>
                                              <w:iCs w:val="0"/>
                                              <w:color w:val="4A4A4A"/>
                                              <w:kern w:val="0"/>
                                              <w:sz w:val="19"/>
                                              <w:szCs w:val="19"/>
                                              <w:bdr w:val="none" w:color="auto" w:sz="0" w:space="0"/>
                                              <w:lang w:val="en-US" w:eastAsia="zh-CN" w:bidi="ar"/>
                                            </w:rPr>
                                            <w:t>联系电话：0791-83828039</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firstLine="384"/>
                                            <w:jc w:val="both"/>
                                          </w:pPr>
                                          <w:r>
                                            <w:rPr>
                                              <w:rFonts w:hint="eastAsia" w:ascii="宋体" w:hAnsi="宋体" w:eastAsia="宋体" w:cs="宋体"/>
                                              <w:i w:val="0"/>
                                              <w:iCs w:val="0"/>
                                              <w:color w:val="4A4A4A"/>
                                              <w:kern w:val="0"/>
                                              <w:sz w:val="19"/>
                                              <w:szCs w:val="19"/>
                                              <w:bdr w:val="none" w:color="auto" w:sz="0" w:space="0"/>
                                              <w:lang w:val="en-US" w:eastAsia="zh-CN" w:bidi="ar"/>
                                            </w:rPr>
                                            <w:t>邮</w:t>
                                          </w:r>
                                          <w:r>
                                            <w:rPr>
                                              <w:rFonts w:asciiTheme="minorHAnsi" w:hAnsiTheme="minorHAnsi" w:eastAsiaTheme="minorEastAsia" w:cstheme="minorBidi"/>
                                              <w:i w:val="0"/>
                                              <w:iCs w:val="0"/>
                                              <w:color w:val="4A4A4A"/>
                                              <w:kern w:val="0"/>
                                              <w:sz w:val="19"/>
                                              <w:szCs w:val="19"/>
                                              <w:bdr w:val="none" w:color="auto" w:sz="0" w:space="0"/>
                                              <w:lang w:val="en-US" w:eastAsia="zh-CN" w:bidi="ar"/>
                                            </w:rPr>
                                            <w:t>  </w:t>
                                          </w:r>
                                          <w:r>
                                            <w:rPr>
                                              <w:rFonts w:hint="eastAsia" w:ascii="宋体" w:hAnsi="宋体" w:eastAsia="宋体" w:cs="宋体"/>
                                              <w:i w:val="0"/>
                                              <w:iCs w:val="0"/>
                                              <w:color w:val="4A4A4A"/>
                                              <w:kern w:val="0"/>
                                              <w:sz w:val="19"/>
                                              <w:szCs w:val="19"/>
                                              <w:bdr w:val="none" w:color="auto" w:sz="0" w:space="0"/>
                                              <w:lang w:val="en-US" w:eastAsia="zh-CN" w:bidi="ar"/>
                                            </w:rPr>
                                            <w:t>箱：jxauyzb@163.com</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firstLine="384"/>
                                            <w:jc w:val="both"/>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firstLine="384"/>
                                            <w:jc w:val="both"/>
                                          </w:pPr>
                                          <w:r>
                                            <w:rPr>
                                              <w:rFonts w:asciiTheme="minorHAnsi" w:hAnsiTheme="minorHAnsi" w:eastAsiaTheme="minorEastAsia" w:cstheme="minorBidi"/>
                                              <w:i w:val="0"/>
                                              <w:iCs w:val="0"/>
                                              <w:color w:val="4A4A4A"/>
                                              <w:kern w:val="0"/>
                                              <w:sz w:val="24"/>
                                              <w:szCs w:val="24"/>
                                              <w:bdr w:val="none" w:color="auto" w:sz="0" w:space="0"/>
                                              <w:lang w:val="en-US" w:eastAsia="zh-CN" w:bidi="ar"/>
                                            </w:rPr>
                                            <w:drawing>
                                              <wp:inline distT="0" distB="0" distL="114300" distR="114300">
                                                <wp:extent cx="152400" cy="152400"/>
                                                <wp:effectExtent l="0" t="0" r="0" b="0"/>
                                                <wp:docPr id="1"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IMG_257"/>
                                                        <pic:cNvPicPr>
                                                          <a:picLocks noChangeAspect="1"/>
                                                        </pic:cNvPicPr>
                                                      </pic:nvPicPr>
                                                      <pic:blipFill>
                                                        <a:blip r:embed="rId5"/>
                                                        <a:stretch>
                                                          <a:fillRect/>
                                                        </a:stretch>
                                                      </pic:blipFill>
                                                      <pic:spPr>
                                                        <a:xfrm>
                                                          <a:off x="0" y="0"/>
                                                          <a:ext cx="152400" cy="152400"/>
                                                        </a:xfrm>
                                                        <a:prstGeom prst="rect">
                                                          <a:avLst/>
                                                        </a:prstGeom>
                                                        <a:noFill/>
                                                        <a:ln w="9525">
                                                          <a:noFill/>
                                                        </a:ln>
                                                      </pic:spPr>
                                                    </pic:pic>
                                                  </a:graphicData>
                                                </a:graphic>
                                              </wp:inline>
                                            </w:drawing>
                                          </w:r>
                                          <w:r>
                                            <w:rPr>
                                              <w:rFonts w:asciiTheme="minorHAnsi" w:hAnsiTheme="minorHAnsi" w:eastAsiaTheme="minorEastAsia" w:cstheme="minorBidi"/>
                                              <w:i w:val="0"/>
                                              <w:iCs w:val="0"/>
                                              <w:color w:val="666666"/>
                                              <w:kern w:val="0"/>
                                              <w:sz w:val="24"/>
                                              <w:szCs w:val="24"/>
                                              <w:u w:val="none"/>
                                              <w:bdr w:val="none" w:color="auto" w:sz="0" w:space="0"/>
                                              <w:lang w:val="en-US" w:eastAsia="zh-CN" w:bidi="ar"/>
                                            </w:rPr>
                                            <w:fldChar w:fldCharType="begin"/>
                                          </w:r>
                                          <w:r>
                                            <w:rPr>
                                              <w:rFonts w:asciiTheme="minorHAnsi" w:hAnsiTheme="minorHAnsi" w:eastAsiaTheme="minorEastAsia" w:cstheme="minorBidi"/>
                                              <w:i w:val="0"/>
                                              <w:iCs w:val="0"/>
                                              <w:color w:val="666666"/>
                                              <w:kern w:val="0"/>
                                              <w:sz w:val="24"/>
                                              <w:szCs w:val="24"/>
                                              <w:u w:val="none"/>
                                              <w:bdr w:val="none" w:color="auto" w:sz="0" w:space="0"/>
                                              <w:lang w:val="en-US" w:eastAsia="zh-CN" w:bidi="ar"/>
                                            </w:rPr>
                                            <w:instrText xml:space="preserve"> HYPERLINK "https://yanjiusheng.jxau.edu.cn/_upload/article/files/19/09/8a8c7d1d47d2b665cd5cd01898fa/55995777-406d-4933-b1d0-8a86d5e74624.pdf" </w:instrText>
                                          </w:r>
                                          <w:r>
                                            <w:rPr>
                                              <w:rFonts w:asciiTheme="minorHAnsi" w:hAnsiTheme="minorHAnsi" w:eastAsiaTheme="minorEastAsia" w:cstheme="minorBidi"/>
                                              <w:i w:val="0"/>
                                              <w:iCs w:val="0"/>
                                              <w:color w:val="666666"/>
                                              <w:kern w:val="0"/>
                                              <w:sz w:val="24"/>
                                              <w:szCs w:val="24"/>
                                              <w:u w:val="none"/>
                                              <w:bdr w:val="none" w:color="auto" w:sz="0" w:space="0"/>
                                              <w:lang w:val="en-US" w:eastAsia="zh-CN" w:bidi="ar"/>
                                            </w:rPr>
                                            <w:fldChar w:fldCharType="separate"/>
                                          </w:r>
                                          <w:r>
                                            <w:rPr>
                                              <w:rStyle w:val="6"/>
                                              <w:rFonts w:hint="eastAsia" w:ascii="宋体" w:hAnsi="宋体" w:eastAsia="宋体" w:cs="宋体"/>
                                              <w:i w:val="0"/>
                                              <w:iCs w:val="0"/>
                                              <w:color w:val="666666"/>
                                              <w:sz w:val="19"/>
                                              <w:szCs w:val="19"/>
                                              <w:u w:val="none"/>
                                              <w:bdr w:val="none" w:color="auto" w:sz="0" w:space="0"/>
                                            </w:rPr>
                                            <w:t>附件：江西农业大学2023年硕士研究生一志愿上线须加试考生名单.pdf</w:t>
                                          </w:r>
                                          <w:r>
                                            <w:rPr>
                                              <w:rFonts w:asciiTheme="minorHAnsi" w:hAnsiTheme="minorHAnsi" w:eastAsiaTheme="minorEastAsia" w:cstheme="minorBidi"/>
                                              <w:i w:val="0"/>
                                              <w:iCs w:val="0"/>
                                              <w:color w:val="666666"/>
                                              <w:kern w:val="0"/>
                                              <w:sz w:val="24"/>
                                              <w:szCs w:val="24"/>
                                              <w:u w:val="none"/>
                                              <w:bdr w:val="none" w:color="auto" w:sz="0" w:space="0"/>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firstLine="384"/>
                                            <w:jc w:val="left"/>
                                          </w:pPr>
                                          <w:r>
                                            <w:rPr>
                                              <w:rFonts w:asciiTheme="minorHAnsi" w:hAnsiTheme="minorHAnsi" w:eastAsiaTheme="minorEastAsia" w:cstheme="minorBidi"/>
                                              <w:i w:val="0"/>
                                              <w:iCs w:val="0"/>
                                              <w:color w:val="4A4A4A"/>
                                              <w:kern w:val="0"/>
                                              <w:sz w:val="19"/>
                                              <w:szCs w:val="19"/>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firstLine="384"/>
                                            <w:jc w:val="left"/>
                                          </w:pPr>
                                          <w:r>
                                            <w:rPr>
                                              <w:rFonts w:asciiTheme="minorHAnsi" w:hAnsiTheme="minorHAnsi" w:eastAsiaTheme="minorEastAsia" w:cstheme="minorBidi"/>
                                              <w:i w:val="0"/>
                                              <w:iCs w:val="0"/>
                                              <w:color w:val="4A4A4A"/>
                                              <w:kern w:val="0"/>
                                              <w:sz w:val="19"/>
                                              <w:szCs w:val="19"/>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firstLine="384"/>
                                            <w:jc w:val="left"/>
                                          </w:pPr>
                                          <w:r>
                                            <w:rPr>
                                              <w:rFonts w:asciiTheme="minorHAnsi" w:hAnsiTheme="minorHAnsi" w:eastAsiaTheme="minorEastAsia" w:cstheme="minorBidi"/>
                                              <w:i w:val="0"/>
                                              <w:iCs w:val="0"/>
                                              <w:color w:val="4A4A4A"/>
                                              <w:kern w:val="0"/>
                                              <w:sz w:val="19"/>
                                              <w:szCs w:val="19"/>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firstLine="384"/>
                                            <w:jc w:val="right"/>
                                          </w:pPr>
                                          <w:r>
                                            <w:rPr>
                                              <w:rFonts w:asciiTheme="minorHAnsi" w:hAnsiTheme="minorHAnsi" w:eastAsiaTheme="minorEastAsia" w:cstheme="minorBidi"/>
                                              <w:i w:val="0"/>
                                              <w:iCs w:val="0"/>
                                              <w:color w:val="4A4A4A"/>
                                              <w:kern w:val="0"/>
                                              <w:sz w:val="19"/>
                                              <w:szCs w:val="19"/>
                                              <w:bdr w:val="none" w:color="auto" w:sz="0" w:space="0"/>
                                              <w:lang w:val="en-US" w:eastAsia="zh-CN" w:bidi="ar"/>
                                            </w:rPr>
                                            <w:t> 江西农业大学研招办</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firstLine="384"/>
                                            <w:jc w:val="right"/>
                                          </w:pPr>
                                          <w:r>
                                            <w:rPr>
                                              <w:rFonts w:asciiTheme="minorHAnsi" w:hAnsiTheme="minorHAnsi" w:eastAsiaTheme="minorEastAsia" w:cstheme="minorBidi"/>
                                              <w:i w:val="0"/>
                                              <w:iCs w:val="0"/>
                                              <w:color w:val="4A4A4A"/>
                                              <w:kern w:val="0"/>
                                              <w:sz w:val="19"/>
                                              <w:szCs w:val="19"/>
                                              <w:bdr w:val="none" w:color="auto" w:sz="0" w:space="0"/>
                                              <w:lang w:val="en-US" w:eastAsia="zh-CN" w:bidi="ar"/>
                                            </w:rPr>
                                            <w:t>                        2023年3月31日</w:t>
                                          </w:r>
                                        </w:p>
                                      </w:tc>
                                    </w:tr>
                                  </w:tbl>
                                  <w:p>
                                    <w:pPr>
                                      <w:spacing w:before="0" w:beforeAutospacing="0" w:after="0" w:afterAutospacing="0" w:line="368" w:lineRule="atLeast"/>
                                      <w:ind w:left="0" w:right="0" w:firstLine="384"/>
                                      <w:jc w:val="right"/>
                                      <w:rPr>
                                        <w:sz w:val="18"/>
                                        <w:szCs w:val="18"/>
                                      </w:rPr>
                                    </w:pPr>
                                  </w:p>
                                </w:tc>
                              </w:tr>
                            </w:tbl>
                            <w:p>
                              <w:pPr>
                                <w:jc w:val="center"/>
                                <w:rPr>
                                  <w:sz w:val="14"/>
                                  <w:szCs w:val="14"/>
                                </w:rPr>
                              </w:pPr>
                            </w:p>
                          </w:tc>
                        </w:tr>
                      </w:tbl>
                      <w:p>
                        <w:pPr>
                          <w:spacing w:before="0" w:beforeAutospacing="0" w:after="0" w:afterAutospacing="0"/>
                          <w:ind w:left="0" w:right="0"/>
                          <w:jc w:val="center"/>
                          <w:rPr>
                            <w:sz w:val="18"/>
                            <w:szCs w:val="18"/>
                          </w:rPr>
                        </w:pPr>
                      </w:p>
                    </w:tc>
                  </w:tr>
                </w:tbl>
                <w:p>
                  <w:pPr>
                    <w:spacing w:before="0" w:beforeAutospacing="0" w:after="0" w:afterAutospacing="0"/>
                    <w:ind w:left="0" w:right="0"/>
                    <w:rPr>
                      <w:sz w:val="18"/>
                      <w:szCs w:val="18"/>
                    </w:rPr>
                  </w:pPr>
                </w:p>
              </w:tc>
            </w:tr>
          </w:tbl>
          <w:p>
            <w:pPr>
              <w:jc w:val="left"/>
              <w:rPr>
                <w:rFonts w:hint="eastAsia" w:ascii="微软雅黑" w:hAnsi="微软雅黑" w:eastAsia="微软雅黑" w:cs="微软雅黑"/>
                <w:i w:val="0"/>
                <w:iCs w:val="0"/>
                <w:caps w:val="0"/>
                <w:color w:val="000000"/>
                <w:spacing w:val="0"/>
                <w:sz w:val="14"/>
                <w:szCs w:val="14"/>
              </w:rPr>
            </w:pP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37633E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GIF"/><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575</Words>
  <Characters>679</Characters>
  <Lines>0</Lines>
  <Paragraphs>0</Paragraphs>
  <TotalTime>0</TotalTime>
  <ScaleCrop>false</ScaleCrop>
  <LinksUpToDate>false</LinksUpToDate>
  <CharactersWithSpaces>713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2023-05-02T01:39:58Z</dcterms:created>
  <dc:creator>DELL</dc:creator>
  <cp:lastModifiedBy>曾经的那个老吴</cp:lastModifiedBy>
  <dcterms:modified xsi:type="dcterms:W3CDTF">2023-05-02T01:40:00Z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12E7423D45934CD393ADCA922960E94E_12</vt:lpwstr>
  </property>
</Properties>
</file>