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666666"/>
          <w:spacing w:val="0"/>
          <w:sz w:val="43"/>
          <w:szCs w:val="43"/>
        </w:rPr>
      </w:pPr>
      <w:r>
        <w:rPr>
          <w:rFonts w:hint="eastAsia" w:ascii="微软雅黑" w:hAnsi="微软雅黑" w:eastAsia="微软雅黑" w:cs="微软雅黑"/>
          <w:b w:val="0"/>
          <w:bCs w:val="0"/>
          <w:i w:val="0"/>
          <w:iCs w:val="0"/>
          <w:caps w:val="0"/>
          <w:color w:val="666666"/>
          <w:spacing w:val="0"/>
          <w:sz w:val="43"/>
          <w:szCs w:val="43"/>
          <w:bdr w:val="none" w:color="auto" w:sz="0" w:space="0"/>
        </w:rPr>
        <w:t>江西理工大学外国语学院2023年翻译硕士研究生招生调剂公告</w:t>
      </w:r>
    </w:p>
    <w:p>
      <w:pPr>
        <w:keepNext w:val="0"/>
        <w:keepLines w:val="0"/>
        <w:widowControl/>
        <w:suppressLineNumbers w:val="0"/>
        <w:jc w:val="left"/>
      </w:pPr>
      <w:r>
        <w:rPr>
          <w:rFonts w:hint="eastAsia" w:ascii="微软雅黑" w:hAnsi="微软雅黑" w:eastAsia="微软雅黑" w:cs="微软雅黑"/>
          <w:i w:val="0"/>
          <w:iCs w:val="0"/>
          <w:caps w:val="0"/>
          <w:color w:val="666666"/>
          <w:spacing w:val="0"/>
          <w:kern w:val="0"/>
          <w:sz w:val="21"/>
          <w:szCs w:val="21"/>
          <w:shd w:val="clear" w:fill="F5F5F5"/>
          <w:lang w:val="en-US" w:eastAsia="zh-CN" w:bidi="ar"/>
        </w:rPr>
        <w:t>【 发布日期：2023-03-14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jc w:val="center"/>
        <w:rPr>
          <w:color w:val="666666"/>
          <w:sz w:val="19"/>
          <w:szCs w:val="19"/>
        </w:rPr>
      </w:pPr>
      <w:r>
        <w:rPr>
          <w:rStyle w:val="6"/>
          <w:rFonts w:ascii="等线" w:hAnsi="等线" w:eastAsia="等线" w:cs="等线"/>
          <w:i w:val="0"/>
          <w:iCs w:val="0"/>
          <w:caps w:val="0"/>
          <w:color w:val="666666"/>
          <w:spacing w:val="0"/>
          <w:sz w:val="25"/>
          <w:szCs w:val="25"/>
          <w:bdr w:val="none" w:color="auto" w:sz="0" w:space="0"/>
        </w:rPr>
        <w:t>江西理工大学外国语学院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jc w:val="center"/>
        <w:rPr>
          <w:color w:val="666666"/>
          <w:sz w:val="19"/>
          <w:szCs w:val="19"/>
        </w:rPr>
      </w:pPr>
      <w:r>
        <w:rPr>
          <w:rStyle w:val="6"/>
          <w:rFonts w:hint="eastAsia" w:ascii="等线" w:hAnsi="等线" w:eastAsia="等线" w:cs="等线"/>
          <w:i w:val="0"/>
          <w:iCs w:val="0"/>
          <w:caps w:val="0"/>
          <w:color w:val="666666"/>
          <w:spacing w:val="0"/>
          <w:sz w:val="25"/>
          <w:szCs w:val="25"/>
          <w:bdr w:val="none" w:color="auto" w:sz="0" w:space="0"/>
        </w:rPr>
        <w:t>2023年翻译硕士研究生招生调剂公告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我校翻译硕士专业学位教育（MTI）以科技笔译、科技口译为主要研究方向，依托学校矿业、冶金、材料等优势学科，凸显“</w:t>
      </w:r>
      <w:r>
        <w:rPr>
          <w:rFonts w:hint="eastAsia" w:ascii="宋体" w:hAnsi="宋体" w:eastAsia="宋体" w:cs="宋体"/>
          <w:i w:val="0"/>
          <w:iCs w:val="0"/>
          <w:caps w:val="0"/>
          <w:color w:val="666666"/>
          <w:spacing w:val="0"/>
          <w:sz w:val="19"/>
          <w:szCs w:val="19"/>
          <w:bdr w:val="none" w:color="auto" w:sz="0" w:space="0"/>
        </w:rPr>
        <w:t>外语</w:t>
      </w:r>
      <w:r>
        <w:rPr>
          <w:rFonts w:hint="eastAsia" w:ascii="微软雅黑" w:hAnsi="微软雅黑" w:eastAsia="微软雅黑" w:cs="微软雅黑"/>
          <w:i w:val="0"/>
          <w:iCs w:val="0"/>
          <w:caps w:val="0"/>
          <w:color w:val="666666"/>
          <w:spacing w:val="0"/>
          <w:sz w:val="19"/>
          <w:szCs w:val="19"/>
          <w:bdr w:val="none" w:color="auto" w:sz="0" w:space="0"/>
        </w:rPr>
        <w:t>+有色”特色方向，致力于培养我国区域经济和有色金属行业发展的应用型高层次科技翻译人才，为有色金属行业与国际市场紧密接轨、技术升级改造、科技合作交流发挥重要桥梁作用。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本学位点建立了一支梯队结构合理、学术水平高、治学严谨的师资队伍，现有高级职称专任教师18名，均具有丰富的口笔译实践经验。近3年，专任教师发表与翻译相关学术论文36篇，出版学术专著（译著）19部，主持完成</w:t>
      </w:r>
      <w:r>
        <w:rPr>
          <w:rFonts w:hint="eastAsia" w:ascii="宋体" w:hAnsi="宋体" w:eastAsia="宋体" w:cs="宋体"/>
          <w:i w:val="0"/>
          <w:iCs w:val="0"/>
          <w:caps w:val="0"/>
          <w:color w:val="666666"/>
          <w:spacing w:val="0"/>
          <w:sz w:val="19"/>
          <w:szCs w:val="19"/>
          <w:bdr w:val="none" w:color="auto" w:sz="0" w:space="0"/>
        </w:rPr>
        <w:t>国家社会科学基金项目5项，省部级项目</w:t>
      </w:r>
      <w:r>
        <w:rPr>
          <w:rFonts w:hint="eastAsia" w:ascii="微软雅黑" w:hAnsi="微软雅黑" w:eastAsia="微软雅黑" w:cs="微软雅黑"/>
          <w:i w:val="0"/>
          <w:iCs w:val="0"/>
          <w:caps w:val="0"/>
          <w:color w:val="666666"/>
          <w:spacing w:val="0"/>
          <w:sz w:val="19"/>
          <w:szCs w:val="19"/>
          <w:bdr w:val="none" w:color="auto" w:sz="0" w:space="0"/>
        </w:rPr>
        <w:t>20 项，获江西省社会科学优秀成果奖二等奖、三等奖各2项，江西省教学成果(研究生</w:t>
      </w:r>
      <w:r>
        <w:rPr>
          <w:rFonts w:hint="eastAsia" w:ascii="宋体" w:hAnsi="宋体" w:eastAsia="宋体" w:cs="宋体"/>
          <w:i w:val="0"/>
          <w:iCs w:val="0"/>
          <w:caps w:val="0"/>
          <w:color w:val="666666"/>
          <w:spacing w:val="0"/>
          <w:sz w:val="19"/>
          <w:szCs w:val="19"/>
          <w:bdr w:val="none" w:color="auto" w:sz="0" w:space="0"/>
        </w:rPr>
        <w:t>层次)一等奖</w:t>
      </w:r>
      <w:r>
        <w:rPr>
          <w:rFonts w:hint="eastAsia" w:ascii="微软雅黑" w:hAnsi="微软雅黑" w:eastAsia="微软雅黑" w:cs="微软雅黑"/>
          <w:i w:val="0"/>
          <w:iCs w:val="0"/>
          <w:caps w:val="0"/>
          <w:color w:val="666666"/>
          <w:spacing w:val="0"/>
          <w:sz w:val="19"/>
          <w:szCs w:val="19"/>
          <w:bdr w:val="none" w:color="auto" w:sz="0" w:space="0"/>
        </w:rPr>
        <w:t>2项，</w:t>
      </w:r>
      <w:r>
        <w:rPr>
          <w:rFonts w:hint="eastAsia" w:ascii="宋体" w:hAnsi="宋体" w:eastAsia="宋体" w:cs="宋体"/>
          <w:i w:val="0"/>
          <w:iCs w:val="0"/>
          <w:caps w:val="0"/>
          <w:color w:val="666666"/>
          <w:spacing w:val="0"/>
          <w:sz w:val="19"/>
          <w:szCs w:val="19"/>
          <w:bdr w:val="none" w:color="auto" w:sz="0" w:space="0"/>
        </w:rPr>
        <w:t>江西省外语协会特等奖2项，赣州市社会科学优秀成果一等奖1项</w:t>
      </w:r>
      <w:r>
        <w:rPr>
          <w:rFonts w:hint="eastAsia" w:ascii="微软雅黑" w:hAnsi="微软雅黑" w:eastAsia="微软雅黑" w:cs="微软雅黑"/>
          <w:i w:val="0"/>
          <w:iCs w:val="0"/>
          <w:caps w:val="0"/>
          <w:color w:val="666666"/>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宋体" w:hAnsi="宋体" w:eastAsia="宋体" w:cs="宋体"/>
          <w:i w:val="0"/>
          <w:iCs w:val="0"/>
          <w:caps w:val="0"/>
          <w:color w:val="666666"/>
          <w:spacing w:val="0"/>
          <w:sz w:val="19"/>
          <w:szCs w:val="19"/>
          <w:bdr w:val="none" w:color="auto" w:sz="0" w:space="0"/>
        </w:rPr>
        <w:t>本学位点现有翻译实习基地9家，包括省外翻译公司4家，国内著名外文网站1家，赣州本地知名有色金属企业4家 。这些企事业单位都享有良好的社会声誉，能为学生提供必要的翻译实践工具及资源，并专门配备了专职译员或项目经理作为指导老师，不仅能</w:t>
      </w:r>
      <w:r>
        <w:rPr>
          <w:rFonts w:hint="eastAsia" w:ascii="微软雅黑" w:hAnsi="微软雅黑" w:eastAsia="微软雅黑" w:cs="微软雅黑"/>
          <w:i w:val="0"/>
          <w:iCs w:val="0"/>
          <w:caps w:val="0"/>
          <w:color w:val="666666"/>
          <w:spacing w:val="0"/>
          <w:sz w:val="19"/>
          <w:szCs w:val="19"/>
          <w:bdr w:val="none" w:color="auto" w:sz="0" w:space="0"/>
        </w:rPr>
        <w:t>培养我校翻译硕士良好的翻译职业素养，也能锤炼我校翻译硕士科技翻译实践的能力。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2023年外国语学院接收部分专业型硕士研究生（</w:t>
      </w:r>
      <w:r>
        <w:rPr>
          <w:rFonts w:hint="eastAsia" w:ascii="宋体" w:hAnsi="宋体" w:eastAsia="宋体" w:cs="宋体"/>
          <w:i w:val="0"/>
          <w:iCs w:val="0"/>
          <w:caps w:val="0"/>
          <w:color w:val="666666"/>
          <w:spacing w:val="0"/>
          <w:sz w:val="19"/>
          <w:szCs w:val="19"/>
          <w:bdr w:val="none" w:color="auto" w:sz="0" w:space="0"/>
        </w:rPr>
        <w:t>含全日制</w:t>
      </w:r>
      <w:r>
        <w:rPr>
          <w:rFonts w:hint="eastAsia" w:ascii="微软雅黑" w:hAnsi="微软雅黑" w:eastAsia="微软雅黑" w:cs="微软雅黑"/>
          <w:i w:val="0"/>
          <w:iCs w:val="0"/>
          <w:caps w:val="0"/>
          <w:color w:val="666666"/>
          <w:spacing w:val="0"/>
          <w:sz w:val="19"/>
          <w:szCs w:val="19"/>
          <w:bdr w:val="none" w:color="auto" w:sz="0" w:space="0"/>
        </w:rPr>
        <w:t>/非全日制）调剂生源。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rPr>
          <w:color w:val="666666"/>
          <w:sz w:val="19"/>
          <w:szCs w:val="19"/>
        </w:rPr>
      </w:pPr>
      <w:r>
        <w:rPr>
          <w:rStyle w:val="6"/>
          <w:rFonts w:hint="eastAsia" w:ascii="等线" w:hAnsi="等线" w:eastAsia="等线" w:cs="等线"/>
          <w:i w:val="0"/>
          <w:iCs w:val="0"/>
          <w:caps w:val="0"/>
          <w:color w:val="666666"/>
          <w:spacing w:val="0"/>
          <w:sz w:val="19"/>
          <w:szCs w:val="19"/>
          <w:bdr w:val="none" w:color="auto" w:sz="0" w:space="0"/>
        </w:rPr>
        <w:t>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翻译硕士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我院翻译硕士专业学位点接收翻译硕士考生的调剂，同时接收一定数量的原报考英语语言文学、外国语言学及应用语言学、翻译学等学术型上线考生调剂。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rPr>
          <w:color w:val="666666"/>
          <w:sz w:val="19"/>
          <w:szCs w:val="19"/>
        </w:rPr>
      </w:pPr>
      <w:r>
        <w:rPr>
          <w:rStyle w:val="6"/>
          <w:rFonts w:hint="eastAsia" w:ascii="等线" w:hAnsi="等线" w:eastAsia="等线" w:cs="等线"/>
          <w:i w:val="0"/>
          <w:iCs w:val="0"/>
          <w:caps w:val="0"/>
          <w:color w:val="666666"/>
          <w:spacing w:val="0"/>
          <w:sz w:val="19"/>
          <w:szCs w:val="19"/>
          <w:bdr w:val="none" w:color="auto" w:sz="0" w:space="0"/>
        </w:rPr>
        <w:t>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全日制翻译硕士研究生少量，非全日制翻译硕士研究生少量、实际名额以最终下达招生计划为准。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rPr>
          <w:color w:val="666666"/>
          <w:sz w:val="19"/>
          <w:szCs w:val="19"/>
        </w:rPr>
      </w:pPr>
      <w:r>
        <w:rPr>
          <w:rStyle w:val="6"/>
          <w:rFonts w:hint="eastAsia" w:ascii="等线" w:hAnsi="等线" w:eastAsia="等线" w:cs="等线"/>
          <w:i w:val="0"/>
          <w:iCs w:val="0"/>
          <w:caps w:val="0"/>
          <w:color w:val="666666"/>
          <w:spacing w:val="0"/>
          <w:sz w:val="19"/>
          <w:szCs w:val="19"/>
          <w:bdr w:val="none" w:color="auto" w:sz="0" w:space="0"/>
        </w:rPr>
        <w:t>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1. </w:t>
      </w:r>
      <w:r>
        <w:rPr>
          <w:rFonts w:hint="eastAsia" w:ascii="宋体" w:hAnsi="宋体" w:eastAsia="宋体" w:cs="宋体"/>
          <w:i w:val="0"/>
          <w:iCs w:val="0"/>
          <w:caps w:val="0"/>
          <w:color w:val="666666"/>
          <w:spacing w:val="0"/>
          <w:sz w:val="19"/>
          <w:szCs w:val="19"/>
          <w:bdr w:val="none" w:color="auto" w:sz="0" w:space="0"/>
        </w:rPr>
        <w:t>调剂平台开通前，达到国家A类分数线的考生进行调剂预登记。有调剂意向的考生，</w:t>
      </w:r>
      <w:r>
        <w:rPr>
          <w:rFonts w:hint="eastAsia" w:ascii="微软雅黑" w:hAnsi="微软雅黑" w:eastAsia="微软雅黑" w:cs="微软雅黑"/>
          <w:i w:val="0"/>
          <w:iCs w:val="0"/>
          <w:caps w:val="0"/>
          <w:color w:val="666666"/>
          <w:spacing w:val="0"/>
          <w:sz w:val="19"/>
          <w:szCs w:val="19"/>
          <w:bdr w:val="none" w:color="auto" w:sz="0" w:space="0"/>
        </w:rPr>
        <w:t>请扫描下方二维码进入我校预调剂管理系统进行预登记。调剂平台开通后，还需在研招网调剂平台正式填报调剂志愿。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420"/>
        <w:jc w:val="center"/>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400175" cy="1209675"/>
            <wp:effectExtent l="0" t="0" r="190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00175" cy="12096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2.“全国硕士生招生调剂服务系统”开通后，所有申请调剂考生均应登陆中国研究生招生信息网（</w:t>
      </w:r>
      <w:r>
        <w:rPr>
          <w:rFonts w:hint="eastAsia" w:ascii="微软雅黑" w:hAnsi="微软雅黑" w:eastAsia="微软雅黑" w:cs="微软雅黑"/>
          <w:i w:val="0"/>
          <w:iCs w:val="0"/>
          <w:caps w:val="0"/>
          <w:color w:val="333333"/>
          <w:spacing w:val="0"/>
          <w:sz w:val="19"/>
          <w:szCs w:val="19"/>
          <w:u w:val="none"/>
          <w:bdr w:val="none" w:color="auto" w:sz="0" w:space="0"/>
        </w:rPr>
        <w:fldChar w:fldCharType="begin"/>
      </w:r>
      <w:r>
        <w:rPr>
          <w:rFonts w:hint="eastAsia" w:ascii="微软雅黑" w:hAnsi="微软雅黑" w:eastAsia="微软雅黑" w:cs="微软雅黑"/>
          <w:i w:val="0"/>
          <w:iCs w:val="0"/>
          <w:caps w:val="0"/>
          <w:color w:val="333333"/>
          <w:spacing w:val="0"/>
          <w:sz w:val="19"/>
          <w:szCs w:val="19"/>
          <w:u w:val="none"/>
          <w:bdr w:val="none" w:color="auto" w:sz="0" w:space="0"/>
        </w:rPr>
        <w:instrText xml:space="preserve"> HYPERLINK "http://yz.chsi.com.cn/" </w:instrText>
      </w:r>
      <w:r>
        <w:rPr>
          <w:rFonts w:hint="eastAsia" w:ascii="微软雅黑" w:hAnsi="微软雅黑" w:eastAsia="微软雅黑" w:cs="微软雅黑"/>
          <w:i w:val="0"/>
          <w:iCs w:val="0"/>
          <w:caps w:val="0"/>
          <w:color w:val="333333"/>
          <w:spacing w:val="0"/>
          <w:sz w:val="19"/>
          <w:szCs w:val="19"/>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9"/>
          <w:szCs w:val="19"/>
          <w:u w:val="none"/>
          <w:bdr w:val="none" w:color="auto" w:sz="0" w:space="0"/>
        </w:rPr>
        <w:t>http://yz.chsi.com.cn/</w:t>
      </w:r>
      <w:r>
        <w:rPr>
          <w:rFonts w:hint="eastAsia" w:ascii="微软雅黑" w:hAnsi="微软雅黑" w:eastAsia="微软雅黑" w:cs="微软雅黑"/>
          <w:i w:val="0"/>
          <w:iCs w:val="0"/>
          <w:caps w:val="0"/>
          <w:color w:val="333333"/>
          <w:spacing w:val="0"/>
          <w:sz w:val="19"/>
          <w:szCs w:val="19"/>
          <w:u w:val="none"/>
          <w:bdr w:val="none" w:color="auto" w:sz="0" w:space="0"/>
        </w:rPr>
        <w:fldChar w:fldCharType="end"/>
      </w:r>
      <w:r>
        <w:rPr>
          <w:rFonts w:hint="eastAsia" w:ascii="微软雅黑" w:hAnsi="微软雅黑" w:eastAsia="微软雅黑" w:cs="微软雅黑"/>
          <w:i w:val="0"/>
          <w:iCs w:val="0"/>
          <w:caps w:val="0"/>
          <w:color w:val="666666"/>
          <w:spacing w:val="0"/>
          <w:sz w:val="19"/>
          <w:szCs w:val="19"/>
          <w:bdr w:val="none" w:color="auto" w:sz="0" w:space="0"/>
        </w:rPr>
        <w:t>）调剂平台填报调剂信息，学校将按教育部及学校相关规定来确定复试考生，接受我校复试通知的考生应在学院规定时间内参加复试，未能在规定时间内参加复试者视为自动放弃。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3.我校将根据相关规定制定复试工作方案，在上级主管相关部门审核后将及时向考生公布，敬请各位考生及时关注我校研究生招生信息网与学院（学部）网站相关通知。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rPr>
          <w:color w:val="666666"/>
          <w:sz w:val="19"/>
          <w:szCs w:val="19"/>
        </w:rPr>
      </w:pPr>
      <w:r>
        <w:rPr>
          <w:rStyle w:val="6"/>
          <w:rFonts w:hint="eastAsia" w:ascii="等线" w:hAnsi="等线" w:eastAsia="等线" w:cs="等线"/>
          <w:i w:val="0"/>
          <w:iCs w:val="0"/>
          <w:caps w:val="0"/>
          <w:color w:val="666666"/>
          <w:spacing w:val="0"/>
          <w:sz w:val="19"/>
          <w:szCs w:val="19"/>
          <w:bdr w:val="none" w:color="auto" w:sz="0" w:space="0"/>
        </w:rPr>
        <w:t>奖助政策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宋体" w:hAnsi="宋体" w:eastAsia="宋体" w:cs="宋体"/>
          <w:i w:val="0"/>
          <w:iCs w:val="0"/>
          <w:caps w:val="0"/>
          <w:color w:val="666666"/>
          <w:spacing w:val="0"/>
          <w:sz w:val="19"/>
          <w:szCs w:val="19"/>
          <w:bdr w:val="none" w:color="auto" w:sz="0" w:space="0"/>
        </w:rPr>
        <w:t>学校有国家奖学金、省政府奖学金、学业奖学金、国家助学金、研究生“三助”助学金、各类社会奖学金等。非全日制硕士研究生及人事档案未转至我校、有固定工资收入、定向（不含少数民族高层次骨干人才专项计划）、委培的全日制硕士研究生不享受相关奖助学金。</w:t>
      </w:r>
    </w:p>
    <w:tbl>
      <w:tblPr>
        <w:tblW w:w="6648"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92"/>
        <w:gridCol w:w="1860"/>
        <w:gridCol w:w="3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92" w:type="dxa"/>
            <w:tcBorders>
              <w:top w:val="single" w:color="000000" w:sz="4" w:space="0"/>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类别</w:t>
            </w:r>
          </w:p>
        </w:tc>
        <w:tc>
          <w:tcPr>
            <w:tcW w:w="1860" w:type="dxa"/>
            <w:tcBorders>
              <w:top w:val="single" w:color="000000" w:sz="4" w:space="0"/>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奖助标准</w:t>
            </w:r>
          </w:p>
        </w:tc>
        <w:tc>
          <w:tcPr>
            <w:tcW w:w="3396" w:type="dxa"/>
            <w:tcBorders>
              <w:top w:val="single" w:color="000000" w:sz="4" w:space="0"/>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92" w:type="dxa"/>
            <w:tcBorders>
              <w:top w:val="nil"/>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学业奖学金</w:t>
            </w:r>
          </w:p>
        </w:tc>
        <w:tc>
          <w:tcPr>
            <w:tcW w:w="1860"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5000-10000元/年</w:t>
            </w:r>
          </w:p>
        </w:tc>
        <w:tc>
          <w:tcPr>
            <w:tcW w:w="3396"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sz w:val="19"/>
                <w:szCs w:val="19"/>
              </w:rPr>
            </w:pPr>
            <w:r>
              <w:rPr>
                <w:rFonts w:hint="eastAsia" w:ascii="等线" w:hAnsi="等线" w:eastAsia="等线" w:cs="等线"/>
                <w:color w:val="666666"/>
                <w:sz w:val="18"/>
                <w:szCs w:val="18"/>
                <w:bdr w:val="none" w:color="auto" w:sz="0" w:space="0"/>
              </w:rPr>
              <w:t>覆盖面100%。调剂考生第一年给予8000元学业奖学金，第二、三年按学习成绩、科研业绩及综合表现评选。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92" w:type="dxa"/>
            <w:tcBorders>
              <w:top w:val="nil"/>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国家助学金</w:t>
            </w:r>
          </w:p>
        </w:tc>
        <w:tc>
          <w:tcPr>
            <w:tcW w:w="1860"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6000元/年</w:t>
            </w:r>
          </w:p>
        </w:tc>
        <w:tc>
          <w:tcPr>
            <w:tcW w:w="3396"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sz w:val="19"/>
                <w:szCs w:val="19"/>
              </w:rPr>
            </w:pPr>
            <w:r>
              <w:rPr>
                <w:rFonts w:hint="eastAsia" w:ascii="等线" w:hAnsi="等线" w:eastAsia="等线" w:cs="等线"/>
                <w:color w:val="666666"/>
                <w:sz w:val="18"/>
                <w:szCs w:val="18"/>
                <w:bdr w:val="none" w:color="auto" w:sz="0" w:space="0"/>
              </w:rPr>
              <w:t>在校全日制硕士研究生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92" w:type="dxa"/>
            <w:tcBorders>
              <w:top w:val="nil"/>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国家奖学金</w:t>
            </w:r>
          </w:p>
        </w:tc>
        <w:tc>
          <w:tcPr>
            <w:tcW w:w="1860"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20000元</w:t>
            </w:r>
          </w:p>
        </w:tc>
        <w:tc>
          <w:tcPr>
            <w:tcW w:w="3396"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sz w:val="19"/>
                <w:szCs w:val="19"/>
              </w:rPr>
            </w:pPr>
            <w:r>
              <w:rPr>
                <w:rFonts w:hint="eastAsia" w:ascii="等线" w:hAnsi="等线" w:eastAsia="等线" w:cs="等线"/>
                <w:color w:val="666666"/>
                <w:sz w:val="18"/>
                <w:szCs w:val="18"/>
                <w:bdr w:val="none" w:color="auto" w:sz="0" w:space="0"/>
              </w:rPr>
              <w:t>按学习成绩、科研业绩及综合表现评选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0" w:type="dxa"/>
        </w:trPr>
        <w:tc>
          <w:tcPr>
            <w:tcW w:w="1392" w:type="dxa"/>
            <w:tcBorders>
              <w:top w:val="nil"/>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省政府奖学金</w:t>
            </w:r>
          </w:p>
        </w:tc>
        <w:tc>
          <w:tcPr>
            <w:tcW w:w="1860"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10000元</w:t>
            </w:r>
          </w:p>
        </w:tc>
        <w:tc>
          <w:tcPr>
            <w:tcW w:w="3396"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sz w:val="19"/>
                <w:szCs w:val="19"/>
              </w:rPr>
            </w:pPr>
            <w:r>
              <w:rPr>
                <w:rFonts w:hint="eastAsia" w:ascii="等线" w:hAnsi="等线" w:eastAsia="等线" w:cs="等线"/>
                <w:color w:val="666666"/>
                <w:sz w:val="18"/>
                <w:szCs w:val="18"/>
                <w:bdr w:val="none" w:color="auto" w:sz="0" w:space="0"/>
              </w:rPr>
              <w:t>按学习成绩、科研业绩及综合表现评选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92" w:type="dxa"/>
            <w:tcBorders>
              <w:top w:val="nil"/>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各类社会奖学金</w:t>
            </w:r>
          </w:p>
        </w:tc>
        <w:tc>
          <w:tcPr>
            <w:tcW w:w="1860"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4000-10000元不等</w:t>
            </w:r>
          </w:p>
        </w:tc>
        <w:tc>
          <w:tcPr>
            <w:tcW w:w="3396"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sz w:val="19"/>
                <w:szCs w:val="19"/>
              </w:rPr>
            </w:pPr>
            <w:r>
              <w:rPr>
                <w:rFonts w:hint="eastAsia" w:ascii="等线" w:hAnsi="等线" w:eastAsia="等线" w:cs="等线"/>
                <w:color w:val="666666"/>
                <w:sz w:val="18"/>
                <w:szCs w:val="18"/>
                <w:bdr w:val="none" w:color="auto" w:sz="0" w:space="0"/>
              </w:rPr>
              <w:t>宝钢教育奖学金、金诚信奖学金、南矿奖学金、金力永磁奖学金、张文海院士奖学金等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92" w:type="dxa"/>
            <w:tcBorders>
              <w:top w:val="nil"/>
              <w:left w:val="single" w:color="000000" w:sz="4" w:space="0"/>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firstLine="420"/>
              <w:jc w:val="center"/>
              <w:rPr>
                <w:color w:val="666666"/>
                <w:sz w:val="19"/>
                <w:szCs w:val="19"/>
              </w:rPr>
            </w:pPr>
            <w:r>
              <w:rPr>
                <w:rFonts w:hint="eastAsia" w:ascii="等线" w:hAnsi="等线" w:eastAsia="等线" w:cs="等线"/>
                <w:color w:val="666666"/>
                <w:sz w:val="18"/>
                <w:szCs w:val="18"/>
                <w:bdr w:val="none" w:color="auto" w:sz="0" w:space="0"/>
              </w:rPr>
              <w:t>“三助”岗位</w:t>
            </w:r>
          </w:p>
        </w:tc>
        <w:tc>
          <w:tcPr>
            <w:tcW w:w="1860"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firstLine="12"/>
              <w:jc w:val="center"/>
              <w:rPr>
                <w:color w:val="666666"/>
                <w:sz w:val="19"/>
                <w:szCs w:val="19"/>
              </w:rPr>
            </w:pPr>
            <w:r>
              <w:rPr>
                <w:rFonts w:hint="eastAsia" w:ascii="等线" w:hAnsi="等线" w:eastAsia="等线" w:cs="等线"/>
                <w:color w:val="666666"/>
                <w:sz w:val="18"/>
                <w:szCs w:val="18"/>
                <w:bdr w:val="none" w:color="auto" w:sz="0" w:space="0"/>
              </w:rPr>
              <w:t>300-800元/月</w:t>
            </w:r>
          </w:p>
        </w:tc>
        <w:tc>
          <w:tcPr>
            <w:tcW w:w="3396" w:type="dxa"/>
            <w:tcBorders>
              <w:top w:val="nil"/>
              <w:left w:val="nil"/>
              <w:bottom w:val="single" w:color="000000" w:sz="4" w:space="0"/>
              <w:right w:val="single" w:color="000000" w:sz="4" w:space="0"/>
            </w:tcBorders>
            <w:shd w:val="clear" w:color="auto" w:fill="FFFFFF"/>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firstLine="420"/>
              <w:rPr>
                <w:color w:val="666666"/>
                <w:sz w:val="19"/>
                <w:szCs w:val="19"/>
              </w:rPr>
            </w:pPr>
            <w:r>
              <w:rPr>
                <w:rFonts w:hint="eastAsia" w:ascii="等线" w:hAnsi="等线" w:eastAsia="等线" w:cs="等线"/>
                <w:color w:val="666666"/>
                <w:sz w:val="18"/>
                <w:szCs w:val="18"/>
                <w:bdr w:val="none" w:color="auto" w:sz="0" w:space="0"/>
              </w:rPr>
              <w:t>学校按研究生总人数20%公开招聘，本人主动申请</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注：奖励标准仅供参考，具体根据上级部门和学校有关规定政策综合确定。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360" w:lineRule="atLeast"/>
        <w:ind w:left="0" w:right="0" w:firstLine="420"/>
        <w:rPr>
          <w:color w:val="666666"/>
          <w:sz w:val="19"/>
          <w:szCs w:val="19"/>
        </w:rPr>
      </w:pPr>
      <w:r>
        <w:rPr>
          <w:rStyle w:val="6"/>
          <w:rFonts w:hint="eastAsia" w:ascii="等线" w:hAnsi="等线" w:eastAsia="等线" w:cs="等线"/>
          <w:i w:val="0"/>
          <w:iCs w:val="0"/>
          <w:caps w:val="0"/>
          <w:color w:val="666666"/>
          <w:spacing w:val="0"/>
          <w:sz w:val="19"/>
          <w:szCs w:val="19"/>
          <w:bdr w:val="none" w:color="auto" w:sz="0" w:space="0"/>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联系人：高老师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宋体" w:hAnsi="宋体" w:eastAsia="宋体" w:cs="宋体"/>
          <w:i w:val="0"/>
          <w:iCs w:val="0"/>
          <w:caps w:val="0"/>
          <w:color w:val="666666"/>
          <w:spacing w:val="0"/>
          <w:sz w:val="19"/>
          <w:szCs w:val="19"/>
          <w:bdr w:val="none" w:color="auto" w:sz="0" w:space="0"/>
        </w:rPr>
        <w:t>邮箱：jxlgdxwgytj@163.com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微软雅黑" w:hAnsi="微软雅黑" w:eastAsia="微软雅黑" w:cs="微软雅黑"/>
          <w:i w:val="0"/>
          <w:iCs w:val="0"/>
          <w:caps w:val="0"/>
          <w:color w:val="666666"/>
          <w:spacing w:val="0"/>
          <w:sz w:val="19"/>
          <w:szCs w:val="19"/>
          <w:bdr w:val="none" w:color="auto" w:sz="0" w:space="0"/>
        </w:rPr>
        <w:t>QQ群：383167017   江理外院2023年研究生招生咨询群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88" w:lineRule="atLeast"/>
        <w:ind w:left="0" w:right="0" w:firstLine="384"/>
        <w:rPr>
          <w:color w:val="666666"/>
          <w:sz w:val="19"/>
          <w:szCs w:val="19"/>
        </w:rPr>
      </w:pPr>
      <w:r>
        <w:rPr>
          <w:rFonts w:hint="eastAsia" w:ascii="宋体" w:hAnsi="宋体" w:eastAsia="宋体" w:cs="宋体"/>
          <w:i w:val="0"/>
          <w:iCs w:val="0"/>
          <w:caps w:val="0"/>
          <w:color w:val="666666"/>
          <w:spacing w:val="0"/>
          <w:sz w:val="19"/>
          <w:szCs w:val="19"/>
          <w:bdr w:val="none" w:color="auto" w:sz="0" w:space="0"/>
        </w:rPr>
        <w:t>电话：0797-8312179</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95B5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1395</Words>
  <Characters>1527</Characters>
  <Lines>0</Lines>
  <Paragraphs>0</Paragraphs>
  <TotalTime>0</TotalTime>
  <ScaleCrop>false</ScaleCrop>
  <LinksUpToDate>false</LinksUpToDate>
  <CharactersWithSpaces>1555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2023-04-13T07:41:16Z</dcterms:created>
  <dc:creator>DELL</dc:creator>
  <cp:lastModifiedBy>曾经的那个老吴</cp:lastModifiedBy>
  <dcterms:modified xsi:type="dcterms:W3CDTF">2023-04-13T07:41:19Z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A83433F50085433CAD29C1A288CC16ED_12</vt:lpwstr>
  </property>
</Properties>
</file>