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B90E0E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90E0E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河北北方学院第二次开放研究生招生调剂服务系统的通知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F1F7"/>
        <w:spacing w:before="300" w:beforeAutospacing="0" w:after="10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EBF1F7"/>
          <w:lang w:val="en-US" w:eastAsia="zh-CN" w:bidi="ar"/>
        </w:rPr>
        <w:t>发布时间：2023.04.12       阅读次数：10522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200" w:afterAutospacing="0" w:line="320" w:lineRule="atLeast"/>
        <w:ind w:left="0" w:right="0" w:firstLine="4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200" w:afterAutospacing="0" w:line="320" w:lineRule="atLeast"/>
        <w:ind w:left="0" w:right="0" w:firstLine="37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我校 2023 年硕士研究生招生经过第一轮调剂复试，截至目前，部分专业仍有缺额。我校定于4月12日23:00-4月13日11:00，针对缺额专业（领域）再次开放调剂服务系统，欢迎大家报考，具体见下表：</w:t>
      </w:r>
    </w:p>
    <w:tbl>
      <w:tblPr>
        <w:tblW w:w="9000" w:type="dxa"/>
        <w:tblInd w:w="0" w:type="dxa"/>
        <w:tblBorders>
          <w:top w:val="single" w:color="939598" w:sz="4" w:space="0"/>
          <w:left w:val="single" w:color="939598" w:sz="4" w:space="0"/>
          <w:bottom w:val="single" w:color="939598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8"/>
        <w:gridCol w:w="2009"/>
        <w:gridCol w:w="2806"/>
        <w:gridCol w:w="2807"/>
      </w:tblGrid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类别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宋体" w:cs="Calibri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教育管理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全日制、非全日制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045102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学科教学（思政）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045105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学科教学（物理）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045106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学科教学（化学）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全日制、非全日制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045108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学科教学（英语）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045109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学科教学（历史）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全日制、非全日制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045111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学科教学（音乐）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045112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学科教学（体育）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045116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045118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学前教育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083200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食品科学与工程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095131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农艺与种业（园艺）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095131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农艺与种业（种业）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095131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农艺与种业（草业）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095200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兽医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095132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资源利用与植物保护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939598" w:sz="4" w:space="0"/>
            <w:left w:val="single" w:color="939598" w:sz="4" w:space="0"/>
            <w:bottom w:val="single" w:color="939598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宋体" w:cs="Calibri"/>
                <w:sz w:val="16"/>
                <w:szCs w:val="16"/>
                <w:bdr w:val="none" w:color="auto" w:sz="0" w:space="0"/>
              </w:rPr>
              <w:t>100702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药剂学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E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2023-05-18T03:43:07Z</dcterms:created>
  <dc:creator>86188</dc:creator>
  <cp:lastModifiedBy>随风而动</cp:lastModifiedBy>
  <dcterms:modified xsi:type="dcterms:W3CDTF">2023-05-18T03:43:08Z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