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0" w:lineRule="atLeast"/>
        <w:ind w:left="0" w:right="0" w:firstLine="0"/>
        <w:jc w:val="center"/>
        <w:rPr>
          <w:rFonts w:hint="eastAsia" w:ascii="微软雅黑" w:hAnsi="微软雅黑" w:eastAsia="微软雅黑" w:cs="微软雅黑"/>
          <w:b w:val="0"/>
          <w:i w:val="0"/>
          <w:caps w:val="0"/>
          <w:color w:val="212529"/>
          <w:spacing w:val="0"/>
          <w:sz w:val="26"/>
          <w:szCs w:val="26"/>
        </w:rPr>
      </w:pPr>
      <w:r>
        <w:rPr>
          <w:rFonts w:hint="eastAsia" w:ascii="微软雅黑" w:hAnsi="微软雅黑" w:eastAsia="微软雅黑" w:cs="微软雅黑"/>
          <w:b w:val="0"/>
          <w:i w:val="0"/>
          <w:caps w:val="0"/>
          <w:color w:val="212529"/>
          <w:spacing w:val="0"/>
          <w:sz w:val="26"/>
          <w:szCs w:val="26"/>
          <w:bdr w:val="none" w:color="auto" w:sz="0" w:space="0"/>
          <w:shd w:val="clear" w:fill="FFFFFF"/>
        </w:rPr>
        <w:t>公布公共卫生与预防医学专业调剂志愿考生复试成绩的通知</w:t>
      </w:r>
    </w:p>
    <w:p>
      <w:pPr>
        <w:pStyle w:val="3"/>
        <w:keepNext w:val="0"/>
        <w:keepLines w:val="0"/>
        <w:widowControl/>
        <w:suppressLineNumbers w:val="0"/>
        <w:pBdr>
          <w:top w:val="none" w:color="auto" w:sz="0" w:space="0"/>
          <w:left w:val="none" w:color="auto" w:sz="0" w:space="0"/>
          <w:bottom w:val="dotted" w:color="CCCCCC" w:sz="4" w:space="5"/>
          <w:right w:val="none" w:color="auto" w:sz="0" w:space="0"/>
        </w:pBdr>
        <w:shd w:val="clear" w:fill="FFFFFF"/>
        <w:spacing w:before="0" w:beforeAutospacing="0" w:after="100" w:afterAutospacing="0" w:line="230" w:lineRule="atLeast"/>
        <w:ind w:left="0" w:right="0" w:firstLine="0"/>
        <w:jc w:val="center"/>
        <w:rPr>
          <w:rFonts w:hint="eastAsia" w:ascii="微软雅黑" w:hAnsi="微软雅黑" w:eastAsia="微软雅黑" w:cs="微软雅黑"/>
          <w:b w:val="0"/>
          <w:i w:val="0"/>
          <w:caps w:val="0"/>
          <w:color w:val="999999"/>
          <w:spacing w:val="0"/>
          <w:sz w:val="14"/>
          <w:szCs w:val="14"/>
        </w:rPr>
      </w:pPr>
      <w:r>
        <w:rPr>
          <w:rFonts w:hint="eastAsia" w:ascii="微软雅黑" w:hAnsi="微软雅黑" w:eastAsia="微软雅黑" w:cs="微软雅黑"/>
          <w:b w:val="0"/>
          <w:i w:val="0"/>
          <w:caps w:val="0"/>
          <w:color w:val="999999"/>
          <w:spacing w:val="0"/>
          <w:sz w:val="14"/>
          <w:szCs w:val="14"/>
          <w:bdr w:val="none" w:color="auto" w:sz="0" w:space="0"/>
          <w:shd w:val="clear" w:fill="FFFFFF"/>
        </w:rPr>
        <w:t>添加时间：2023-04-10   浏览次数：2844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sz w:val="16"/>
          <w:szCs w:val="16"/>
        </w:rPr>
      </w:pPr>
      <w:r>
        <w:rPr>
          <w:rFonts w:hint="eastAsia" w:ascii="微软雅黑" w:hAnsi="微软雅黑" w:eastAsia="微软雅黑" w:cs="微软雅黑"/>
          <w:b w:val="0"/>
          <w:i w:val="0"/>
          <w:caps w:val="0"/>
          <w:color w:val="212529"/>
          <w:spacing w:val="0"/>
          <w:sz w:val="16"/>
          <w:szCs w:val="16"/>
          <w:bdr w:val="none" w:color="auto" w:sz="0" w:space="0"/>
          <w:shd w:val="clear" w:fill="FFFFFF"/>
        </w:rPr>
        <w:t>        按照学校整体复试工作安排，我院于2023年4月10日进行了硕士研究生招生考试公共卫生与预防医学专业调剂志愿考生复试工作，现对所有调剂志愿考生复试成绩予以公布。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eastAsia" w:ascii="微软雅黑" w:hAnsi="微软雅黑" w:eastAsia="微软雅黑" w:cs="微软雅黑"/>
          <w:b w:val="0"/>
          <w:i w:val="0"/>
          <w:caps w:val="0"/>
          <w:color w:val="212529"/>
          <w:spacing w:val="0"/>
          <w:sz w:val="16"/>
          <w:szCs w:val="16"/>
          <w:bdr w:val="none" w:color="auto" w:sz="0" w:space="0"/>
          <w:shd w:val="clear" w:fill="FFFFFF"/>
        </w:rPr>
        <w:t>2023年公共卫生与预防医学专业调剂志愿考生复试成绩</w:t>
      </w:r>
    </w:p>
    <w:tbl>
      <w:tblPr>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56"/>
        <w:gridCol w:w="870"/>
        <w:gridCol w:w="1641"/>
        <w:gridCol w:w="1141"/>
        <w:gridCol w:w="1837"/>
        <w:gridCol w:w="1401"/>
        <w:gridCol w:w="10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ascii="Arial" w:hAnsi="Arial" w:eastAsia="微软雅黑" w:cs="Arial"/>
                <w:b w:val="0"/>
                <w:color w:val="000000"/>
                <w:sz w:val="16"/>
                <w:szCs w:val="16"/>
                <w:bdr w:val="none" w:color="auto" w:sz="0" w:space="0"/>
              </w:rPr>
              <w:t>序号</w:t>
            </w:r>
          </w:p>
        </w:tc>
        <w:tc>
          <w:tcPr>
            <w:tcW w:w="515" w:type="pct"/>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姓名</w:t>
            </w:r>
          </w:p>
        </w:tc>
        <w:tc>
          <w:tcPr>
            <w:tcW w:w="971" w:type="pct"/>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考生编号</w:t>
            </w:r>
          </w:p>
        </w:tc>
        <w:tc>
          <w:tcPr>
            <w:tcW w:w="675" w:type="pct"/>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报考专业代码</w:t>
            </w:r>
          </w:p>
        </w:tc>
        <w:tc>
          <w:tcPr>
            <w:tcW w:w="1087" w:type="pct"/>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报考专业名称</w:t>
            </w:r>
          </w:p>
        </w:tc>
        <w:tc>
          <w:tcPr>
            <w:tcW w:w="829" w:type="pct"/>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学习方式</w:t>
            </w:r>
          </w:p>
        </w:tc>
        <w:tc>
          <w:tcPr>
            <w:tcW w:w="649" w:type="pct"/>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复试成绩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方梓莘</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100253133701339</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缺考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2</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宋文俊</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106783000001745</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3</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洪龙燕</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100253141201578</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缺考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4</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黄薪达</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106983622119441</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87.8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5</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王蕾</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100623000101747</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缺考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6</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夏楷华</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100023111510091</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85.2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7</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陈俏霞</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105583510121917</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82.6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8</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黄英达</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101833217211898</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78.8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9</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李若瑞</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103123210000240</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缺考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李小平</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100623000100432</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83.2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11</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陈子双</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101593000003986</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84.2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12</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严雪</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105333511903672</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72.8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13</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韩玉辉</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101833217209838</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缺考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14</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王立新</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102263002000201</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79.8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15</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贺蔚川</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100623000101377</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84.4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16</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王楠</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102463444617581</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缺考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17</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张嘉瑶</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105583580122841</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84.6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18</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邹婉双</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105583510122154</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83.6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19</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王丽君</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104873000130736</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缺考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20</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王立坤</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100623000101399</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91.8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21</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安瑞琦</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100623000101376</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88.8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22</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刘秋淳</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103353000929336</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w:t>
            </w:r>
            <w:bookmarkStart w:id="0" w:name="_GoBack"/>
            <w:bookmarkEnd w:id="0"/>
            <w:r>
              <w:rPr>
                <w:rFonts w:hint="default" w:ascii="Arial" w:hAnsi="Arial" w:eastAsia="微软雅黑" w:cs="Arial"/>
                <w:b w:val="0"/>
                <w:color w:val="000000"/>
                <w:sz w:val="16"/>
                <w:szCs w:val="16"/>
                <w:bdr w:val="none" w:color="auto" w:sz="0" w:space="0"/>
              </w:rPr>
              <w:t>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缺考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23</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龙朝东</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100233515818312</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86.6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24</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李欣悦</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106983134608515</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25</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张涵</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102953212812095</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75.4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26</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巩金昊</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104223510105085</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缺考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27</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田佳音</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100623000101136</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86.6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28</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刘晓然</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103843211301581</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85.2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27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29</w:t>
            </w:r>
          </w:p>
        </w:tc>
        <w:tc>
          <w:tcPr>
            <w:tcW w:w="51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高靖雯</w:t>
            </w:r>
          </w:p>
        </w:tc>
        <w:tc>
          <w:tcPr>
            <w:tcW w:w="971"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106983141209082</w:t>
            </w:r>
          </w:p>
        </w:tc>
        <w:tc>
          <w:tcPr>
            <w:tcW w:w="675"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100400</w:t>
            </w:r>
          </w:p>
        </w:tc>
        <w:tc>
          <w:tcPr>
            <w:tcW w:w="1087"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公共卫生与预防医学</w:t>
            </w:r>
          </w:p>
        </w:tc>
        <w:tc>
          <w:tcPr>
            <w:tcW w:w="829" w:type="pc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全日制</w:t>
            </w:r>
          </w:p>
        </w:tc>
        <w:tc>
          <w:tcPr>
            <w:tcW w:w="649" w:type="pct"/>
            <w:tcBorders>
              <w:top w:val="nil"/>
              <w:left w:val="nil"/>
              <w:bottom w:val="single" w:color="000000" w:sz="4" w:space="0"/>
              <w:right w:val="single" w:color="000000" w:sz="4" w:space="0"/>
            </w:tcBorders>
            <w:shd w:val="clear"/>
            <w:tcMar>
              <w:left w:w="70" w:type="dxa"/>
              <w:right w:w="7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sz w:val="16"/>
                <w:szCs w:val="16"/>
              </w:rPr>
            </w:pPr>
            <w:r>
              <w:rPr>
                <w:rFonts w:hint="default" w:ascii="Arial" w:hAnsi="Arial" w:eastAsia="微软雅黑" w:cs="Arial"/>
                <w:b w:val="0"/>
                <w:color w:val="000000"/>
                <w:sz w:val="16"/>
                <w:szCs w:val="16"/>
                <w:bdr w:val="none" w:color="auto" w:sz="0" w:space="0"/>
              </w:rPr>
              <w:t>77.8</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7A3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2023-05-18T05:51:54Z</dcterms:created>
  <dc:creator>86188</dc:creator>
  <cp:lastModifiedBy>随风而动</cp:lastModifiedBy>
  <dcterms:modified xsi:type="dcterms:W3CDTF">2023-05-18T05:51:59Z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