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474747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74747"/>
          <w:spacing w:val="0"/>
          <w:sz w:val="26"/>
          <w:szCs w:val="26"/>
          <w:bdr w:val="none" w:color="auto" w:sz="0" w:space="0"/>
        </w:rPr>
        <w:t>河北大学文学院2023年硕士研究生招生第二次调剂工作公告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2023-04-15 13:50:17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根据《河北大学2023年硕士研究生招生第二次开通调剂服务系统的通知》，文学院第二次调剂工作安排如下：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一、调剂系统开通时间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2023年4月17日0：00至14:00，考生志愿锁定时间为24小时。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二、接收调剂专业、缺额及条件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全日制学术学位按照1:2比例差额调剂。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jc w:val="center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河北大学文学院2023年硕士研究生招生第二次调剂专业清单</w:t>
      </w:r>
    </w:p>
    <w:tbl>
      <w:tblPr>
        <w:tblW w:w="58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5"/>
        <w:gridCol w:w="1287"/>
        <w:gridCol w:w="838"/>
        <w:gridCol w:w="1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sz w:val="16"/>
                <w:szCs w:val="16"/>
                <w:bdr w:val="none" w:color="auto" w:sz="0" w:space="0"/>
                <w:shd w:val="clear" w:fill="FFFFFF"/>
              </w:rPr>
              <w:t>专业代码及名称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sz w:val="16"/>
                <w:szCs w:val="16"/>
                <w:bdr w:val="none" w:color="auto" w:sz="0" w:space="0"/>
                <w:shd w:val="clear" w:fill="FFFFFF"/>
              </w:rPr>
              <w:t>学习方式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sz w:val="16"/>
                <w:szCs w:val="16"/>
                <w:bdr w:val="none" w:color="auto" w:sz="0" w:space="0"/>
                <w:shd w:val="clear" w:fill="FFFFFF"/>
              </w:rPr>
              <w:t>计划缺额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sz w:val="16"/>
                <w:szCs w:val="16"/>
                <w:bdr w:val="none" w:color="auto" w:sz="0" w:space="0"/>
                <w:shd w:val="clear" w:fill="FFFFFF"/>
              </w:rPr>
              <w:t>差额调剂数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050104 中国古典文献学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全日制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050108 比较文学与世界文学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全日制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 4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调剂分数控制线：按照报考专业对应的《2023年全国硕士研究生招生考试考生进入复试的初试成绩基本要求》中A类考生分数线。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三、第二次调剂复试工作按照《河北大学2023年硕士研究生招生调剂公告》《河北大学2023年硕士研究生复试录取办法》中的要求执行。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19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6B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2023-05-18T06:47:50Z</dcterms:created>
  <dc:creator>86188</dc:creator>
  <cp:lastModifiedBy>随风而动</cp:lastModifiedBy>
  <dcterms:modified xsi:type="dcterms:W3CDTF">2023-05-18T06:47:51Z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