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/>
        <w:jc w:val="center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  <w:bdr w:val="none" w:color="auto" w:sz="0" w:space="0"/>
        </w:rPr>
        <w:t>市政与环境工程系调剂系统开放公告（4月7日）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  <w:rPr>
          <w:color w:val="333333"/>
          <w:sz w:val="16"/>
          <w:szCs w:val="16"/>
        </w:rPr>
      </w:pPr>
      <w:r>
        <w:rPr>
          <w:rFonts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发布日期：2023-04-07    访问次数:1388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color w:val="333333"/>
          <w:sz w:val="16"/>
          <w:szCs w:val="16"/>
          <w:bdr w:val="none" w:color="auto" w:sz="0" w:space="0"/>
        </w:rPr>
        <w:t>字号：[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sz w:val="16"/>
          <w:szCs w:val="16"/>
          <w:u w:val="none"/>
          <w:bdr w:val="none" w:color="auto" w:sz="0" w:space="0"/>
        </w:rPr>
        <w:t>大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sz w:val="16"/>
          <w:szCs w:val="16"/>
          <w:u w:val="none"/>
          <w:bdr w:val="none" w:color="auto" w:sz="0" w:space="0"/>
        </w:rPr>
        <w:t>中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sz w:val="16"/>
          <w:szCs w:val="16"/>
          <w:u w:val="none"/>
          <w:bdr w:val="none" w:color="auto" w:sz="0" w:space="0"/>
        </w:rPr>
        <w:t>小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rPr>
          <w:color w:val="666666"/>
        </w:rPr>
      </w:pPr>
      <w:r>
        <w:rPr>
          <w:color w:val="666666"/>
          <w:sz w:val="16"/>
          <w:szCs w:val="16"/>
          <w:bdr w:val="none" w:color="auto" w:sz="0" w:space="0"/>
        </w:rPr>
        <w:t>我校市政与环境工程系各专业方向均有调剂名额，调剂系统于4月7日8:50开放，至少开放12小时。欢迎广大考生报考！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jc w:val="left"/>
        <w:rPr>
          <w:color w:val="666666"/>
        </w:rPr>
      </w:pPr>
      <w:r>
        <w:rPr>
          <w:color w:val="666666"/>
          <w:sz w:val="16"/>
          <w:szCs w:val="16"/>
          <w:bdr w:val="none" w:color="auto" w:sz="0" w:space="0"/>
        </w:rPr>
        <w:drawing>
          <wp:inline distT="0" distB="0" distL="114300" distR="114300">
            <wp:extent cx="4762500" cy="8572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rPr>
          <w:color w:val="66666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81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2023-05-18T08:36:53Z</dcterms:created>
  <dc:creator>86188</dc:creator>
  <cp:lastModifiedBy>随风而动</cp:lastModifiedBy>
  <dcterms:modified xsi:type="dcterms:W3CDTF">2023-05-18T08:36:56Z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