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  <w:bdr w:val="none" w:color="auto" w:sz="0" w:space="0"/>
        </w:rPr>
        <w:t>经济管理学院调剂系统开放公告（4月17日）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发布日期：2023-04-17    访问次数:208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color w:val="333333"/>
          <w:sz w:val="16"/>
          <w:szCs w:val="16"/>
          <w:bdr w:val="none" w:color="auto" w:sz="0" w:space="0"/>
        </w:rPr>
        <w:t>字号：[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大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中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小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我校经济管理学院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085900土木水利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专业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（01）工程建造与管理  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方向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“退役大学生士兵”计划 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有1个调剂名额，调剂系统开放时间为4月17日上午10:10~4月18日上午12:00。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该方向接受一志愿报考专业与“土木水利”相同或相近，并且初试的业务课2与“工程经济学”“工程项目管理”“运筹学”相同或相近的考生调剂报考。欢迎广大符合要求的考生报考！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2023-05-18T08:23:15Z</dcterms:created>
  <dc:creator>86188</dc:creator>
  <cp:lastModifiedBy>随风而动</cp:lastModifiedBy>
  <dcterms:modified xsi:type="dcterms:W3CDTF">2023-05-18T08:23:16Z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