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EFEFE"/>
        <w:spacing w:before="0" w:beforeAutospacing="0" w:after="0" w:afterAutospacing="0" w:line="360" w:lineRule="atLeast"/>
        <w:ind w:left="0" w:right="0" w:firstLine="0"/>
        <w:jc w:val="center"/>
        <w:rPr>
          <w:rFonts w:ascii="微软雅黑" w:hAnsi="微软雅黑" w:eastAsia="微软雅黑" w:cs="微软雅黑"/>
          <w:i w:val="0"/>
          <w:caps w:val="0"/>
          <w:color w:val="9C0B00"/>
          <w:spacing w:val="0"/>
          <w:sz w:val="24"/>
          <w:szCs w:val="24"/>
        </w:rPr>
      </w:pPr>
      <w:r>
        <w:rPr>
          <w:rFonts w:hint="eastAsia" w:ascii="微软雅黑" w:hAnsi="微软雅黑" w:eastAsia="微软雅黑" w:cs="微软雅黑"/>
          <w:i w:val="0"/>
          <w:caps w:val="0"/>
          <w:color w:val="9C0B00"/>
          <w:spacing w:val="0"/>
          <w:sz w:val="24"/>
          <w:szCs w:val="24"/>
          <w:bdr w:val="none" w:color="auto" w:sz="0" w:space="0"/>
          <w:shd w:val="clear" w:fill="FEFEFE"/>
        </w:rPr>
        <w:t>河南农业大学动物科技学院2023年硕士研究生招生调剂工作办法</w:t>
      </w:r>
    </w:p>
    <w:p>
      <w:pPr>
        <w:keepNext w:val="0"/>
        <w:keepLines w:val="0"/>
        <w:widowControl/>
        <w:suppressLineNumbers w:val="0"/>
        <w:shd w:val="clear" w:fill="FFFFFF"/>
        <w:spacing w:before="300" w:beforeAutospacing="0" w:after="0" w:afterAutospacing="0" w:line="390" w:lineRule="atLeast"/>
        <w:ind w:left="0" w:right="0" w:firstLine="0"/>
        <w:jc w:val="center"/>
        <w:rPr>
          <w:rFonts w:hint="eastAsia" w:ascii="微软雅黑" w:hAnsi="微软雅黑" w:eastAsia="微软雅黑" w:cs="微软雅黑"/>
          <w:i w:val="0"/>
          <w:caps w:val="0"/>
          <w:color w:val="000000"/>
          <w:spacing w:val="0"/>
          <w:sz w:val="14"/>
          <w:szCs w:val="14"/>
        </w:rPr>
      </w:pPr>
      <w:r>
        <w:rPr>
          <w:rFonts w:hint="eastAsia" w:ascii="微软雅黑" w:hAnsi="微软雅黑" w:eastAsia="微软雅黑" w:cs="微软雅黑"/>
          <w:i w:val="0"/>
          <w:caps w:val="0"/>
          <w:color w:val="000000"/>
          <w:spacing w:val="0"/>
          <w:kern w:val="0"/>
          <w:sz w:val="14"/>
          <w:szCs w:val="14"/>
          <w:shd w:val="clear" w:fill="FFFFFF"/>
          <w:lang w:val="en-US" w:eastAsia="zh-CN" w:bidi="ar"/>
        </w:rPr>
        <w:t>发布时间：2023-04-05 17:53    浏览次数：1529</w:t>
      </w:r>
    </w:p>
    <w:p>
      <w:pPr>
        <w:keepNext w:val="0"/>
        <w:keepLines w:val="0"/>
        <w:widowControl/>
        <w:suppressLineNumbers w:val="0"/>
        <w:pBdr>
          <w:top w:val="dashed" w:color="C9C9C9" w:sz="4" w:space="10"/>
          <w:left w:val="none" w:color="auto" w:sz="0" w:space="0"/>
          <w:bottom w:val="none" w:color="auto" w:sz="0" w:space="0"/>
          <w:right w:val="none" w:color="auto" w:sz="0" w:space="0"/>
        </w:pBdr>
        <w:shd w:val="clear" w:fill="FEFEFE"/>
        <w:spacing w:before="0" w:beforeAutospacing="0" w:after="0" w:afterAutospacing="0" w:line="320" w:lineRule="atLeast"/>
        <w:ind w:left="400" w:right="400" w:firstLine="0"/>
        <w:jc w:val="left"/>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t>      按照教育部、河南省教育考试院和河南农业大学等有关文件要求，为加强和规范研究生招生调剂工作，结合我院2023年硕士研究生招生工作实际情况，特制定本办法。</w:t>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t>一、接收调剂专业、缺额及分数线要求</w:t>
      </w:r>
    </w:p>
    <w:tbl>
      <w:tblPr>
        <w:tblW w:w="6500"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550"/>
        <w:gridCol w:w="690"/>
        <w:gridCol w:w="790"/>
        <w:gridCol w:w="640"/>
        <w:gridCol w:w="640"/>
        <w:gridCol w:w="520"/>
        <w:gridCol w:w="520"/>
        <w:gridCol w:w="520"/>
        <w:gridCol w:w="820"/>
        <w:gridCol w:w="8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550" w:type="dxa"/>
            <w:vMerge w:val="restart"/>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spacing w:line="168" w:lineRule="atLeast"/>
              <w:jc w:val="center"/>
              <w:rPr>
                <w:sz w:val="14"/>
                <w:szCs w:val="14"/>
              </w:rPr>
            </w:pPr>
            <w:r>
              <w:rPr>
                <w:rFonts w:ascii="宋体" w:hAnsi="宋体" w:eastAsia="宋体" w:cs="宋体"/>
                <w:kern w:val="0"/>
                <w:sz w:val="16"/>
                <w:szCs w:val="16"/>
                <w:bdr w:val="none" w:color="auto" w:sz="0" w:space="0"/>
                <w:lang w:val="en-US" w:eastAsia="zh-CN" w:bidi="ar"/>
              </w:rPr>
              <w:t>学习形式</w:t>
            </w:r>
          </w:p>
        </w:tc>
        <w:tc>
          <w:tcPr>
            <w:tcW w:w="690" w:type="dxa"/>
            <w:vMerge w:val="restart"/>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spacing w:line="168" w:lineRule="atLeast"/>
              <w:jc w:val="center"/>
              <w:rPr>
                <w:sz w:val="14"/>
                <w:szCs w:val="14"/>
              </w:rPr>
            </w:pPr>
            <w:r>
              <w:rPr>
                <w:rFonts w:ascii="宋体" w:hAnsi="宋体" w:eastAsia="宋体" w:cs="宋体"/>
                <w:kern w:val="0"/>
                <w:sz w:val="16"/>
                <w:szCs w:val="16"/>
                <w:bdr w:val="none" w:color="auto" w:sz="0" w:space="0"/>
                <w:lang w:val="en-US" w:eastAsia="zh-CN" w:bidi="ar"/>
              </w:rPr>
              <w:t>专业代码</w:t>
            </w:r>
          </w:p>
        </w:tc>
        <w:tc>
          <w:tcPr>
            <w:tcW w:w="790" w:type="dxa"/>
            <w:vMerge w:val="restart"/>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spacing w:line="168" w:lineRule="atLeast"/>
              <w:jc w:val="center"/>
              <w:rPr>
                <w:sz w:val="14"/>
                <w:szCs w:val="14"/>
              </w:rPr>
            </w:pPr>
            <w:r>
              <w:rPr>
                <w:rFonts w:ascii="宋体" w:hAnsi="宋体" w:eastAsia="宋体" w:cs="宋体"/>
                <w:kern w:val="0"/>
                <w:sz w:val="16"/>
                <w:szCs w:val="16"/>
                <w:bdr w:val="none" w:color="auto" w:sz="0" w:space="0"/>
                <w:lang w:val="en-US" w:eastAsia="zh-CN" w:bidi="ar"/>
              </w:rPr>
              <w:t>专业名称</w:t>
            </w:r>
          </w:p>
        </w:tc>
        <w:tc>
          <w:tcPr>
            <w:tcW w:w="640" w:type="dxa"/>
            <w:vMerge w:val="restart"/>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spacing w:line="168" w:lineRule="atLeast"/>
              <w:jc w:val="center"/>
              <w:rPr>
                <w:sz w:val="14"/>
                <w:szCs w:val="14"/>
              </w:rPr>
            </w:pPr>
            <w:r>
              <w:rPr>
                <w:rFonts w:ascii="宋体" w:hAnsi="宋体" w:eastAsia="宋体" w:cs="宋体"/>
                <w:kern w:val="0"/>
                <w:sz w:val="16"/>
                <w:szCs w:val="16"/>
                <w:bdr w:val="none" w:color="auto" w:sz="0" w:space="0"/>
                <w:lang w:val="en-US" w:eastAsia="zh-CN" w:bidi="ar"/>
              </w:rPr>
              <w:t>研究方向</w:t>
            </w:r>
          </w:p>
        </w:tc>
        <w:tc>
          <w:tcPr>
            <w:tcW w:w="640" w:type="dxa"/>
            <w:vMerge w:val="restart"/>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spacing w:line="168" w:lineRule="atLeast"/>
              <w:jc w:val="center"/>
              <w:rPr>
                <w:sz w:val="14"/>
                <w:szCs w:val="14"/>
              </w:rPr>
            </w:pPr>
            <w:r>
              <w:rPr>
                <w:rFonts w:ascii="宋体" w:hAnsi="宋体" w:eastAsia="宋体" w:cs="宋体"/>
                <w:kern w:val="0"/>
                <w:sz w:val="16"/>
                <w:szCs w:val="16"/>
                <w:bdr w:val="none" w:color="auto" w:sz="0" w:space="0"/>
                <w:lang w:val="en-US" w:eastAsia="zh-CN" w:bidi="ar"/>
              </w:rPr>
              <w:t>缺额人数</w:t>
            </w:r>
          </w:p>
        </w:tc>
        <w:tc>
          <w:tcPr>
            <w:tcW w:w="3200" w:type="dxa"/>
            <w:gridSpan w:val="5"/>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spacing w:line="168" w:lineRule="atLeast"/>
              <w:jc w:val="center"/>
              <w:rPr>
                <w:sz w:val="14"/>
                <w:szCs w:val="14"/>
              </w:rPr>
            </w:pPr>
            <w:r>
              <w:rPr>
                <w:rFonts w:ascii="宋体" w:hAnsi="宋体" w:eastAsia="宋体" w:cs="宋体"/>
                <w:kern w:val="0"/>
                <w:sz w:val="16"/>
                <w:szCs w:val="16"/>
                <w:bdr w:val="none" w:color="auto" w:sz="0" w:space="0"/>
                <w:lang w:val="en-US" w:eastAsia="zh-CN" w:bidi="ar"/>
              </w:rPr>
              <w:t>接收调剂分数线</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550" w:type="dxa"/>
            <w:vMerge w:val="continue"/>
            <w:tcBorders>
              <w:top w:val="outset" w:color="auto" w:sz="6" w:space="0"/>
              <w:left w:val="outset" w:color="auto" w:sz="6" w:space="0"/>
              <w:bottom w:val="outset" w:color="auto" w:sz="6" w:space="0"/>
              <w:right w:val="outset" w:color="auto" w:sz="6" w:space="0"/>
            </w:tcBorders>
            <w:shd w:val="clear"/>
            <w:noWrap/>
            <w:vAlign w:val="center"/>
          </w:tcPr>
          <w:p>
            <w:pPr>
              <w:jc w:val="center"/>
              <w:rPr>
                <w:rFonts w:hint="eastAsia" w:ascii="宋体"/>
                <w:sz w:val="14"/>
                <w:szCs w:val="14"/>
              </w:rPr>
            </w:pPr>
          </w:p>
        </w:tc>
        <w:tc>
          <w:tcPr>
            <w:tcW w:w="690" w:type="dxa"/>
            <w:vMerge w:val="continue"/>
            <w:tcBorders>
              <w:top w:val="outset" w:color="auto" w:sz="6" w:space="0"/>
              <w:left w:val="outset" w:color="auto" w:sz="6" w:space="0"/>
              <w:bottom w:val="outset" w:color="auto" w:sz="6" w:space="0"/>
              <w:right w:val="outset" w:color="auto" w:sz="6" w:space="0"/>
            </w:tcBorders>
            <w:shd w:val="clear"/>
            <w:noWrap/>
            <w:vAlign w:val="center"/>
          </w:tcPr>
          <w:p>
            <w:pPr>
              <w:jc w:val="center"/>
              <w:rPr>
                <w:rFonts w:hint="eastAsia" w:ascii="宋体"/>
                <w:sz w:val="14"/>
                <w:szCs w:val="14"/>
              </w:rPr>
            </w:pPr>
          </w:p>
        </w:tc>
        <w:tc>
          <w:tcPr>
            <w:tcW w:w="790" w:type="dxa"/>
            <w:vMerge w:val="continue"/>
            <w:tcBorders>
              <w:top w:val="outset" w:color="auto" w:sz="6" w:space="0"/>
              <w:left w:val="outset" w:color="auto" w:sz="6" w:space="0"/>
              <w:bottom w:val="outset" w:color="auto" w:sz="6" w:space="0"/>
              <w:right w:val="outset" w:color="auto" w:sz="6" w:space="0"/>
            </w:tcBorders>
            <w:shd w:val="clear"/>
            <w:noWrap/>
            <w:vAlign w:val="center"/>
          </w:tcPr>
          <w:p>
            <w:pPr>
              <w:jc w:val="center"/>
              <w:rPr>
                <w:rFonts w:hint="eastAsia" w:ascii="宋体"/>
                <w:sz w:val="14"/>
                <w:szCs w:val="14"/>
              </w:rPr>
            </w:pPr>
          </w:p>
        </w:tc>
        <w:tc>
          <w:tcPr>
            <w:tcW w:w="640" w:type="dxa"/>
            <w:vMerge w:val="continue"/>
            <w:tcBorders>
              <w:top w:val="outset" w:color="auto" w:sz="6" w:space="0"/>
              <w:left w:val="outset" w:color="auto" w:sz="6" w:space="0"/>
              <w:bottom w:val="outset" w:color="auto" w:sz="6" w:space="0"/>
              <w:right w:val="outset" w:color="auto" w:sz="6" w:space="0"/>
            </w:tcBorders>
            <w:shd w:val="clear"/>
            <w:noWrap/>
            <w:vAlign w:val="center"/>
          </w:tcPr>
          <w:p>
            <w:pPr>
              <w:jc w:val="center"/>
              <w:rPr>
                <w:rFonts w:hint="eastAsia" w:ascii="宋体"/>
                <w:sz w:val="14"/>
                <w:szCs w:val="14"/>
              </w:rPr>
            </w:pPr>
          </w:p>
        </w:tc>
        <w:tc>
          <w:tcPr>
            <w:tcW w:w="640" w:type="dxa"/>
            <w:vMerge w:val="continue"/>
            <w:tcBorders>
              <w:top w:val="outset" w:color="auto" w:sz="6" w:space="0"/>
              <w:left w:val="outset" w:color="auto" w:sz="6" w:space="0"/>
              <w:bottom w:val="outset" w:color="auto" w:sz="6" w:space="0"/>
              <w:right w:val="outset" w:color="auto" w:sz="6" w:space="0"/>
            </w:tcBorders>
            <w:shd w:val="clear"/>
            <w:noWrap/>
            <w:vAlign w:val="center"/>
          </w:tcPr>
          <w:p>
            <w:pPr>
              <w:jc w:val="center"/>
              <w:rPr>
                <w:rFonts w:hint="eastAsia" w:ascii="宋体"/>
                <w:sz w:val="14"/>
                <w:szCs w:val="14"/>
              </w:rPr>
            </w:pPr>
          </w:p>
        </w:tc>
        <w:tc>
          <w:tcPr>
            <w:tcW w:w="520" w:type="dxa"/>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spacing w:line="168" w:lineRule="atLeast"/>
              <w:jc w:val="center"/>
              <w:rPr>
                <w:sz w:val="14"/>
                <w:szCs w:val="14"/>
              </w:rPr>
            </w:pPr>
            <w:r>
              <w:rPr>
                <w:rFonts w:ascii="宋体" w:hAnsi="宋体" w:eastAsia="宋体" w:cs="宋体"/>
                <w:kern w:val="0"/>
                <w:sz w:val="16"/>
                <w:szCs w:val="16"/>
                <w:bdr w:val="none" w:color="auto" w:sz="0" w:space="0"/>
                <w:lang w:val="en-US" w:eastAsia="zh-CN" w:bidi="ar"/>
              </w:rPr>
              <w:t>总分</w:t>
            </w:r>
          </w:p>
        </w:tc>
        <w:tc>
          <w:tcPr>
            <w:tcW w:w="520" w:type="dxa"/>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spacing w:line="168" w:lineRule="atLeast"/>
              <w:jc w:val="center"/>
              <w:rPr>
                <w:sz w:val="14"/>
                <w:szCs w:val="14"/>
              </w:rPr>
            </w:pPr>
            <w:r>
              <w:rPr>
                <w:rFonts w:ascii="宋体" w:hAnsi="宋体" w:eastAsia="宋体" w:cs="宋体"/>
                <w:kern w:val="0"/>
                <w:sz w:val="16"/>
                <w:szCs w:val="16"/>
                <w:bdr w:val="none" w:color="auto" w:sz="0" w:space="0"/>
                <w:lang w:val="en-US" w:eastAsia="zh-CN" w:bidi="ar"/>
              </w:rPr>
              <w:t>政治</w:t>
            </w:r>
          </w:p>
        </w:tc>
        <w:tc>
          <w:tcPr>
            <w:tcW w:w="520" w:type="dxa"/>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spacing w:line="168" w:lineRule="atLeast"/>
              <w:jc w:val="center"/>
              <w:rPr>
                <w:sz w:val="14"/>
                <w:szCs w:val="14"/>
              </w:rPr>
            </w:pPr>
            <w:r>
              <w:rPr>
                <w:rFonts w:ascii="宋体" w:hAnsi="宋体" w:eastAsia="宋体" w:cs="宋体"/>
                <w:kern w:val="0"/>
                <w:sz w:val="16"/>
                <w:szCs w:val="16"/>
                <w:bdr w:val="none" w:color="auto" w:sz="0" w:space="0"/>
                <w:lang w:val="en-US" w:eastAsia="zh-CN" w:bidi="ar"/>
              </w:rPr>
              <w:t>外语</w:t>
            </w:r>
          </w:p>
        </w:tc>
        <w:tc>
          <w:tcPr>
            <w:tcW w:w="820" w:type="dxa"/>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spacing w:line="168" w:lineRule="atLeast"/>
              <w:jc w:val="center"/>
              <w:rPr>
                <w:sz w:val="14"/>
                <w:szCs w:val="14"/>
              </w:rPr>
            </w:pPr>
            <w:r>
              <w:rPr>
                <w:rFonts w:ascii="宋体" w:hAnsi="宋体" w:eastAsia="宋体" w:cs="宋体"/>
                <w:kern w:val="0"/>
                <w:sz w:val="16"/>
                <w:szCs w:val="16"/>
                <w:bdr w:val="none" w:color="auto" w:sz="0" w:space="0"/>
                <w:lang w:val="en-US" w:eastAsia="zh-CN" w:bidi="ar"/>
              </w:rPr>
              <w:t>业务课1</w:t>
            </w:r>
          </w:p>
        </w:tc>
        <w:tc>
          <w:tcPr>
            <w:tcW w:w="820" w:type="dxa"/>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spacing w:line="168" w:lineRule="atLeast"/>
              <w:jc w:val="center"/>
              <w:rPr>
                <w:sz w:val="14"/>
                <w:szCs w:val="14"/>
              </w:rPr>
            </w:pPr>
            <w:r>
              <w:rPr>
                <w:rFonts w:ascii="宋体" w:hAnsi="宋体" w:eastAsia="宋体" w:cs="宋体"/>
                <w:kern w:val="0"/>
                <w:sz w:val="16"/>
                <w:szCs w:val="16"/>
                <w:bdr w:val="none" w:color="auto" w:sz="0" w:space="0"/>
                <w:lang w:val="en-US" w:eastAsia="zh-CN" w:bidi="ar"/>
              </w:rPr>
              <w:t>业务课2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550" w:type="dxa"/>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spacing w:line="168" w:lineRule="atLeast"/>
              <w:jc w:val="center"/>
              <w:rPr>
                <w:sz w:val="14"/>
                <w:szCs w:val="14"/>
              </w:rPr>
            </w:pPr>
            <w:r>
              <w:rPr>
                <w:rFonts w:ascii="宋体" w:hAnsi="宋体" w:eastAsia="宋体" w:cs="宋体"/>
                <w:kern w:val="0"/>
                <w:sz w:val="16"/>
                <w:szCs w:val="16"/>
                <w:bdr w:val="none" w:color="auto" w:sz="0" w:space="0"/>
                <w:lang w:val="en-US" w:eastAsia="zh-CN" w:bidi="ar"/>
              </w:rPr>
              <w:t>全日制</w:t>
            </w:r>
          </w:p>
        </w:tc>
        <w:tc>
          <w:tcPr>
            <w:tcW w:w="690" w:type="dxa"/>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spacing w:line="168" w:lineRule="atLeast"/>
              <w:jc w:val="center"/>
              <w:rPr>
                <w:sz w:val="14"/>
                <w:szCs w:val="14"/>
              </w:rPr>
            </w:pPr>
            <w:r>
              <w:rPr>
                <w:rFonts w:ascii="宋体" w:hAnsi="宋体" w:eastAsia="宋体" w:cs="宋体"/>
                <w:kern w:val="0"/>
                <w:sz w:val="16"/>
                <w:szCs w:val="16"/>
                <w:bdr w:val="none" w:color="auto" w:sz="0" w:space="0"/>
                <w:lang w:val="en-US" w:eastAsia="zh-CN" w:bidi="ar"/>
              </w:rPr>
              <w:t>095134</w:t>
            </w:r>
          </w:p>
        </w:tc>
        <w:tc>
          <w:tcPr>
            <w:tcW w:w="790" w:type="dxa"/>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spacing w:line="168" w:lineRule="atLeast"/>
              <w:jc w:val="center"/>
              <w:rPr>
                <w:sz w:val="14"/>
                <w:szCs w:val="14"/>
              </w:rPr>
            </w:pPr>
            <w:r>
              <w:rPr>
                <w:rFonts w:ascii="宋体" w:hAnsi="宋体" w:eastAsia="宋体" w:cs="宋体"/>
                <w:kern w:val="0"/>
                <w:sz w:val="16"/>
                <w:szCs w:val="16"/>
                <w:bdr w:val="none" w:color="auto" w:sz="0" w:space="0"/>
                <w:lang w:val="en-US" w:eastAsia="zh-CN" w:bidi="ar"/>
              </w:rPr>
              <w:t>渔业发展</w:t>
            </w:r>
          </w:p>
        </w:tc>
        <w:tc>
          <w:tcPr>
            <w:tcW w:w="6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line="168" w:lineRule="atLeast"/>
              <w:jc w:val="center"/>
              <w:rPr>
                <w:sz w:val="14"/>
                <w:szCs w:val="14"/>
              </w:rPr>
            </w:pPr>
            <w:r>
              <w:rPr>
                <w:rFonts w:ascii="宋体" w:hAnsi="宋体" w:eastAsia="宋体" w:cs="宋体"/>
                <w:kern w:val="0"/>
                <w:sz w:val="16"/>
                <w:szCs w:val="16"/>
                <w:bdr w:val="none" w:color="auto" w:sz="0" w:space="0"/>
                <w:lang w:val="en-US" w:eastAsia="zh-CN" w:bidi="ar"/>
              </w:rPr>
              <w:t>不区分研究方向</w:t>
            </w:r>
          </w:p>
        </w:tc>
        <w:tc>
          <w:tcPr>
            <w:tcW w:w="640" w:type="dxa"/>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spacing w:line="168" w:lineRule="atLeast"/>
              <w:jc w:val="center"/>
              <w:rPr>
                <w:sz w:val="14"/>
                <w:szCs w:val="14"/>
              </w:rPr>
            </w:pPr>
            <w:r>
              <w:rPr>
                <w:rFonts w:ascii="宋体" w:hAnsi="宋体" w:eastAsia="宋体" w:cs="宋体"/>
                <w:kern w:val="0"/>
                <w:sz w:val="16"/>
                <w:szCs w:val="16"/>
                <w:bdr w:val="none" w:color="auto" w:sz="0" w:space="0"/>
                <w:lang w:val="en-US" w:eastAsia="zh-CN" w:bidi="ar"/>
              </w:rPr>
              <w:t>2</w:t>
            </w:r>
          </w:p>
        </w:tc>
        <w:tc>
          <w:tcPr>
            <w:tcW w:w="520" w:type="dxa"/>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spacing w:line="168" w:lineRule="atLeast"/>
              <w:jc w:val="center"/>
              <w:rPr>
                <w:sz w:val="14"/>
                <w:szCs w:val="14"/>
              </w:rPr>
            </w:pPr>
            <w:r>
              <w:rPr>
                <w:rFonts w:ascii="宋体" w:hAnsi="宋体" w:eastAsia="宋体" w:cs="宋体"/>
                <w:kern w:val="0"/>
                <w:sz w:val="16"/>
                <w:szCs w:val="16"/>
                <w:bdr w:val="none" w:color="auto" w:sz="0" w:space="0"/>
                <w:lang w:val="en-US" w:eastAsia="zh-CN" w:bidi="ar"/>
              </w:rPr>
              <w:t>251</w:t>
            </w:r>
          </w:p>
        </w:tc>
        <w:tc>
          <w:tcPr>
            <w:tcW w:w="520" w:type="dxa"/>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spacing w:line="168" w:lineRule="atLeast"/>
              <w:jc w:val="center"/>
              <w:rPr>
                <w:sz w:val="14"/>
                <w:szCs w:val="14"/>
              </w:rPr>
            </w:pPr>
            <w:r>
              <w:rPr>
                <w:rFonts w:ascii="宋体" w:hAnsi="宋体" w:eastAsia="宋体" w:cs="宋体"/>
                <w:kern w:val="0"/>
                <w:sz w:val="16"/>
                <w:szCs w:val="16"/>
                <w:bdr w:val="none" w:color="auto" w:sz="0" w:space="0"/>
                <w:lang w:val="en-US" w:eastAsia="zh-CN" w:bidi="ar"/>
              </w:rPr>
              <w:t>33</w:t>
            </w:r>
          </w:p>
        </w:tc>
        <w:tc>
          <w:tcPr>
            <w:tcW w:w="520" w:type="dxa"/>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spacing w:line="168" w:lineRule="atLeast"/>
              <w:jc w:val="center"/>
              <w:rPr>
                <w:sz w:val="14"/>
                <w:szCs w:val="14"/>
              </w:rPr>
            </w:pPr>
            <w:r>
              <w:rPr>
                <w:rFonts w:ascii="宋体" w:hAnsi="宋体" w:eastAsia="宋体" w:cs="宋体"/>
                <w:kern w:val="0"/>
                <w:sz w:val="16"/>
                <w:szCs w:val="16"/>
                <w:bdr w:val="none" w:color="auto" w:sz="0" w:space="0"/>
                <w:lang w:val="en-US" w:eastAsia="zh-CN" w:bidi="ar"/>
              </w:rPr>
              <w:t>33</w:t>
            </w:r>
          </w:p>
        </w:tc>
        <w:tc>
          <w:tcPr>
            <w:tcW w:w="820" w:type="dxa"/>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spacing w:line="168" w:lineRule="atLeast"/>
              <w:jc w:val="center"/>
              <w:rPr>
                <w:sz w:val="14"/>
                <w:szCs w:val="14"/>
              </w:rPr>
            </w:pPr>
            <w:r>
              <w:rPr>
                <w:rFonts w:ascii="宋体" w:hAnsi="宋体" w:eastAsia="宋体" w:cs="宋体"/>
                <w:kern w:val="0"/>
                <w:sz w:val="16"/>
                <w:szCs w:val="16"/>
                <w:bdr w:val="none" w:color="auto" w:sz="0" w:space="0"/>
                <w:lang w:val="en-US" w:eastAsia="zh-CN" w:bidi="ar"/>
              </w:rPr>
              <w:t>50</w:t>
            </w:r>
          </w:p>
        </w:tc>
        <w:tc>
          <w:tcPr>
            <w:tcW w:w="820" w:type="dxa"/>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spacing w:line="168" w:lineRule="atLeast"/>
              <w:jc w:val="center"/>
              <w:rPr>
                <w:sz w:val="14"/>
                <w:szCs w:val="14"/>
              </w:rPr>
            </w:pPr>
            <w:r>
              <w:rPr>
                <w:rFonts w:ascii="宋体" w:hAnsi="宋体" w:eastAsia="宋体" w:cs="宋体"/>
                <w:kern w:val="0"/>
                <w:sz w:val="16"/>
                <w:szCs w:val="16"/>
                <w:bdr w:val="none" w:color="auto" w:sz="0" w:space="0"/>
                <w:lang w:val="en-US" w:eastAsia="zh-CN" w:bidi="ar"/>
              </w:rPr>
              <w:t>50</w:t>
            </w:r>
          </w:p>
        </w:tc>
      </w:tr>
    </w:tbl>
    <w:p>
      <w:pPr>
        <w:keepNext w:val="0"/>
        <w:keepLines w:val="0"/>
        <w:widowControl/>
        <w:suppressLineNumbers w:val="0"/>
        <w:spacing w:before="0" w:beforeAutospacing="0" w:after="0" w:afterAutospacing="0"/>
        <w:ind w:left="400" w:right="400"/>
        <w:jc w:val="left"/>
      </w:pP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t>二、调剂系统开放时间</w:t>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t>       2023年4月6日20:00至2023年4月7日8:00，调剂志愿锁定时间24个小时。     </w:t>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t>三、调剂基本要求</w:t>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t>   1.符合我院专业报考条件。</w:t>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t>   2.初试成绩符合第一志愿报考专业在A类地区的全国初试成绩基本要求。</w:t>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t>   3.调入专业与第一志愿报考专业相同或相近，应在同一学科门类范围内。</w:t>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t>   4.初试科目与调入专业初试科目相同或相近。</w:t>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t>   5. 调入的考生，要求满足以下条件：</w:t>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t>（1）初试成绩需同时符合调出专业在全国初试成绩基本要求；</w:t>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t>（2）第一志愿报考需为我院畜牧学、畜牧专业；</w:t>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t>（3）参加过我院2023年4月组织的第一志愿招生复试并获得笔试、面试成绩。</w:t>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t>   6.学院接收调剂生时，坚持择优遴选的原则（总成绩相同时学硕优先）。</w:t>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t>四、调剂具体要求</w:t>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t>   1. 我院对调剂考生进行资格审核，资格审核根据调剂办法中调剂要求进行，资格审查不合格者不予调剂。</w:t>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t>   2. 我院在调剂系统关闭后会及时向考生反馈是否接受其调剂。</w:t>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t> 五、调剂程序</w:t>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t>   1. 调剂考生在我院规定的时间内登陆“全国硕士生招生调剂服务系统”填写调剂志愿和有关信息。</w:t>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t>   2. 我院严格按照规定审核，在“全国硕士研究生招生调剂服务系统”向符合条件的考生发送复试通知。收到复试通知的考生须在系统规定时间内在系统中回复确认复试通知。</w:t>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t>   3. 考生按学院要求参加复试。</w:t>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t>   4. 我院初步确定拟录取名单后，报研究生院备案，由学校在“全国硕士生招生调剂服务系统”向调剂考生发送待录取通知。收到待录取通知的调剂考生须在系统规定时间内在系统中回复确认待录取通知。</w:t>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t>   5. 考生未在规定时间内完成学校规定操作或随意解除志愿的，则视为自动放弃复试或拟录取资格。</w:t>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t>六、联系方式</w:t>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t>      诚挚欢迎符合条件的考生调剂到我院！       </w:t>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t>      咨询电话：孙老师/郭老师  0371-56552518;</w:t>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t>      地       址：河南省郑州市郑东新区龙子湖高校区 第一实验楼动物科技学院5楼中504室。</w:t>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EFEFE"/>
          <w:lang w:val="en-US" w:eastAsia="zh-CN" w:bidi="ar"/>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FF5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2023-05-20T01:47:18Z</dcterms:created>
  <dc:creator>86188</dc:creator>
  <cp:lastModifiedBy>随风而动</cp:lastModifiedBy>
  <dcterms:modified xsi:type="dcterms:W3CDTF">2023-05-20T01:47:19Z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