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ind w:left="0" w:firstLine="0"/>
        <w:jc w:val="center"/>
        <w:rPr>
          <w:rFonts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shd w:val="clear" w:fill="FFFFFF"/>
          <w:lang w:val="en-US" w:eastAsia="zh-CN" w:bidi="ar"/>
        </w:rPr>
        <w:t>植物保护学院2023年硕士研究生第二批次调剂通知</w:t>
      </w:r>
    </w:p>
    <w:p>
      <w:pPr>
        <w:keepNext w:val="0"/>
        <w:keepLines w:val="0"/>
        <w:widowControl/>
        <w:suppressLineNumbers w:val="0"/>
        <w:jc w:val="left"/>
      </w:pPr>
      <w:r>
        <w:rPr>
          <w:rFonts w:hint="eastAsia" w:ascii="微软雅黑" w:hAnsi="微软雅黑" w:eastAsia="微软雅黑" w:cs="微软雅黑"/>
          <w:i w:val="0"/>
          <w:caps w:val="0"/>
          <w:color w:val="000000"/>
          <w:spacing w:val="0"/>
          <w:kern w:val="0"/>
          <w:sz w:val="16"/>
          <w:szCs w:val="16"/>
          <w:shd w:val="clear" w:fill="FFFFFF"/>
          <w:lang w:val="en-US" w:eastAsia="zh-CN" w:bidi="ar"/>
        </w:rPr>
        <w:t> </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一、</w:t>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拟接受调剂专业</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根据我院2023年硕士研究生招生计划及目前考生拟录取情况，以下专业方向尚有调剂名额，接收调剂生：</w:t>
      </w:r>
    </w:p>
    <w:tbl>
      <w:tblPr>
        <w:tblW w:w="767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830"/>
        <w:gridCol w:w="830"/>
        <w:gridCol w:w="1770"/>
        <w:gridCol w:w="1549"/>
        <w:gridCol w:w="1438"/>
        <w:gridCol w:w="125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60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Style w:val="4"/>
                <w:rFonts w:hint="eastAsia" w:ascii="微软雅黑" w:hAnsi="微软雅黑" w:eastAsia="微软雅黑" w:cs="微软雅黑"/>
                <w:b/>
                <w:i w:val="0"/>
                <w:caps w:val="0"/>
                <w:color w:val="000000"/>
                <w:spacing w:val="0"/>
                <w:kern w:val="0"/>
                <w:sz w:val="14"/>
                <w:szCs w:val="14"/>
                <w:lang w:val="en-US" w:eastAsia="zh-CN" w:bidi="ar"/>
              </w:rPr>
              <w:t>学位类型</w:t>
            </w:r>
          </w:p>
        </w:tc>
        <w:tc>
          <w:tcPr>
            <w:tcW w:w="60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Style w:val="4"/>
                <w:rFonts w:hint="eastAsia" w:ascii="微软雅黑" w:hAnsi="微软雅黑" w:eastAsia="微软雅黑" w:cs="微软雅黑"/>
                <w:b/>
                <w:i w:val="0"/>
                <w:caps w:val="0"/>
                <w:color w:val="000000"/>
                <w:spacing w:val="0"/>
                <w:kern w:val="0"/>
                <w:sz w:val="14"/>
                <w:szCs w:val="14"/>
                <w:lang w:val="en-US" w:eastAsia="zh-CN" w:bidi="ar"/>
              </w:rPr>
              <w:t>专业代码</w:t>
            </w:r>
          </w:p>
        </w:tc>
        <w:tc>
          <w:tcPr>
            <w:tcW w:w="128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Style w:val="4"/>
                <w:rFonts w:hint="eastAsia" w:ascii="微软雅黑" w:hAnsi="微软雅黑" w:eastAsia="微软雅黑" w:cs="微软雅黑"/>
                <w:b/>
                <w:i w:val="0"/>
                <w:caps w:val="0"/>
                <w:color w:val="000000"/>
                <w:spacing w:val="0"/>
                <w:kern w:val="0"/>
                <w:sz w:val="14"/>
                <w:szCs w:val="14"/>
                <w:lang w:val="en-US" w:eastAsia="zh-CN" w:bidi="ar"/>
              </w:rPr>
              <w:t>专业名称</w:t>
            </w:r>
          </w:p>
        </w:tc>
        <w:tc>
          <w:tcPr>
            <w:tcW w:w="112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Style w:val="4"/>
                <w:rFonts w:hint="eastAsia" w:ascii="微软雅黑" w:hAnsi="微软雅黑" w:eastAsia="微软雅黑" w:cs="微软雅黑"/>
                <w:b/>
                <w:i w:val="0"/>
                <w:caps w:val="0"/>
                <w:color w:val="000000"/>
                <w:spacing w:val="0"/>
                <w:kern w:val="0"/>
                <w:sz w:val="14"/>
                <w:szCs w:val="14"/>
                <w:lang w:val="en-US" w:eastAsia="zh-CN" w:bidi="ar"/>
              </w:rPr>
              <w:t>研究方向</w:t>
            </w:r>
          </w:p>
        </w:tc>
        <w:tc>
          <w:tcPr>
            <w:tcW w:w="104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Style w:val="4"/>
                <w:rFonts w:hint="eastAsia" w:ascii="微软雅黑" w:hAnsi="微软雅黑" w:eastAsia="微软雅黑" w:cs="微软雅黑"/>
                <w:b/>
                <w:i w:val="0"/>
                <w:caps w:val="0"/>
                <w:color w:val="000000"/>
                <w:spacing w:val="0"/>
                <w:kern w:val="0"/>
                <w:sz w:val="14"/>
                <w:szCs w:val="14"/>
                <w:lang w:val="en-US" w:eastAsia="zh-CN" w:bidi="ar"/>
              </w:rPr>
              <w:t>学习形式</w:t>
            </w:r>
          </w:p>
        </w:tc>
        <w:tc>
          <w:tcPr>
            <w:tcW w:w="91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Style w:val="4"/>
                <w:rFonts w:hint="eastAsia" w:ascii="微软雅黑" w:hAnsi="微软雅黑" w:eastAsia="微软雅黑" w:cs="微软雅黑"/>
                <w:b/>
                <w:i w:val="0"/>
                <w:caps w:val="0"/>
                <w:color w:val="000000"/>
                <w:spacing w:val="0"/>
                <w:kern w:val="0"/>
                <w:sz w:val="14"/>
                <w:szCs w:val="14"/>
                <w:lang w:val="en-US" w:eastAsia="zh-CN" w:bidi="ar"/>
              </w:rPr>
              <w:t>缺额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60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专业学位</w:t>
            </w:r>
          </w:p>
        </w:tc>
        <w:tc>
          <w:tcPr>
            <w:tcW w:w="60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095132</w:t>
            </w:r>
          </w:p>
        </w:tc>
        <w:tc>
          <w:tcPr>
            <w:tcW w:w="128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资源利用与植物保护</w:t>
            </w:r>
          </w:p>
        </w:tc>
        <w:tc>
          <w:tcPr>
            <w:tcW w:w="112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植物保护</w:t>
            </w:r>
          </w:p>
        </w:tc>
        <w:tc>
          <w:tcPr>
            <w:tcW w:w="104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全日制</w:t>
            </w:r>
          </w:p>
        </w:tc>
        <w:tc>
          <w:tcPr>
            <w:tcW w:w="91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60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专业学位</w:t>
            </w:r>
          </w:p>
        </w:tc>
        <w:tc>
          <w:tcPr>
            <w:tcW w:w="60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095132</w:t>
            </w:r>
          </w:p>
        </w:tc>
        <w:tc>
          <w:tcPr>
            <w:tcW w:w="128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资源利用与植物保护</w:t>
            </w:r>
          </w:p>
        </w:tc>
        <w:tc>
          <w:tcPr>
            <w:tcW w:w="112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植物保护</w:t>
            </w:r>
          </w:p>
        </w:tc>
        <w:tc>
          <w:tcPr>
            <w:tcW w:w="104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非全日制</w:t>
            </w:r>
          </w:p>
        </w:tc>
        <w:tc>
          <w:tcPr>
            <w:tcW w:w="910" w:type="dxa"/>
            <w:tcBorders>
              <w:top w:val="outset" w:color="auto" w:sz="6" w:space="0"/>
              <w:left w:val="outset" w:color="auto" w:sz="6" w:space="0"/>
              <w:bottom w:val="outset" w:color="auto" w:sz="6" w:space="0"/>
              <w:right w:val="outset" w:color="auto" w:sz="6" w:space="0"/>
            </w:tcBorders>
            <w:shd w:val="clear" w:color="auto" w:fill="FFFFFF"/>
            <w:noWrap/>
            <w:vAlign w:val="center"/>
          </w:tcPr>
          <w:p>
            <w:pPr>
              <w:keepNext w:val="0"/>
              <w:keepLines w:val="0"/>
              <w:widowControl/>
              <w:suppressLineNumbers w:val="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lang w:val="en-US" w:eastAsia="zh-CN" w:bidi="ar"/>
              </w:rPr>
              <w:t>2</w:t>
            </w:r>
          </w:p>
        </w:tc>
      </w:tr>
    </w:tbl>
    <w:p>
      <w:pPr>
        <w:keepNext w:val="0"/>
        <w:keepLines w:val="0"/>
        <w:widowControl/>
        <w:suppressLineNumbers w:val="0"/>
        <w:jc w:val="left"/>
      </w:pP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温馨提示：</w:t>
      </w:r>
      <w:r>
        <w:rPr>
          <w:rFonts w:hint="eastAsia" w:ascii="微软雅黑" w:hAnsi="微软雅黑" w:eastAsia="微软雅黑" w:cs="微软雅黑"/>
          <w:i w:val="0"/>
          <w:caps w:val="0"/>
          <w:color w:val="000000"/>
          <w:spacing w:val="0"/>
          <w:kern w:val="0"/>
          <w:sz w:val="16"/>
          <w:szCs w:val="16"/>
          <w:shd w:val="clear" w:fill="FFFFFF"/>
          <w:lang w:val="en-US" w:eastAsia="zh-CN" w:bidi="ar"/>
        </w:rPr>
        <w:t>资源利用与植物保护领域“植物保护”方向复试科目为《植物保护各论》（农业昆虫学、农业植物病理学、农药学各1/3左右）。</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二、调剂系统开放时间</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2023年4月13日 18:00-4月14日08:00</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三、调剂基本要求</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1.符合我院专业报考条件。</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2.初试成绩符合第一志愿报考专业</w:t>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在A类地区的全国初试成绩基本要求。</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3.调入专业与第一志愿报考专业相同或相近。</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4.初试科目与调入专业初试科目相同或相近。</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5.学院接收调剂生时，</w:t>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优先选择第一志愿报考我院考生</w:t>
      </w:r>
      <w:r>
        <w:rPr>
          <w:rFonts w:hint="eastAsia" w:ascii="微软雅黑" w:hAnsi="微软雅黑" w:eastAsia="微软雅黑" w:cs="微软雅黑"/>
          <w:i w:val="0"/>
          <w:caps w:val="0"/>
          <w:color w:val="000000"/>
          <w:spacing w:val="0"/>
          <w:kern w:val="0"/>
          <w:sz w:val="16"/>
          <w:szCs w:val="16"/>
          <w:shd w:val="clear" w:fill="FFFFFF"/>
          <w:lang w:val="en-US" w:eastAsia="zh-CN" w:bidi="ar"/>
        </w:rPr>
        <w:t>，同时坚持择优遴选的原则。</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6.不接受同等学力考生调剂申请。</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7.所有调剂考生必须通过教育部指定的“全国硕士生招生调剂服务系统”进行，未通过该系统调剂录取的考生一律无效。</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8.报考“退役大学生士兵”专项计划的考生，申请调剂到普通计划，其初试成绩须达到相应专业进入复试的要求。符合条件的，可按规定享受退役大学生士兵初试加分政策。</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（二）调剂志愿填报系统开放和考生志愿锁定时间</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根据学院招生工作的实际需要，申请开放调剂系统，</w:t>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本次调剂窗口于2023年4月13日18:00开放，开放时间不少于12小时。</w:t>
      </w:r>
      <w:r>
        <w:rPr>
          <w:rFonts w:hint="eastAsia" w:ascii="微软雅黑" w:hAnsi="微软雅黑" w:eastAsia="微软雅黑" w:cs="微软雅黑"/>
          <w:i w:val="0"/>
          <w:caps w:val="0"/>
          <w:color w:val="000000"/>
          <w:spacing w:val="0"/>
          <w:kern w:val="0"/>
          <w:sz w:val="16"/>
          <w:szCs w:val="16"/>
          <w:shd w:val="clear" w:fill="FFFFFF"/>
          <w:lang w:val="en-US" w:eastAsia="zh-CN" w:bidi="ar"/>
        </w:rPr>
        <w:t>调剂志愿锁定时间学校统一设定为24小时，如个别考生需要提前解锁，可联系学院研究生教务员老师。我院对申请调剂考生会尽快给出受理意见，尽可能缩短考生调剂等待时间。同时及时解答考生咨询，确保信息沟通及时、畅通，积极利用调剂系统在线留言功能、咨询电话等渠道为考生提供良好的服务。</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四、调剂程序</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调剂考生必须通过研招网“硕士研究生调剂复试服务系统”进行相关工作，具体工作按以下流程进行:</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1.学院发布接收调剂通知，公布接收调剂信息。</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2.调剂考生在规定的时间内登录“全国硕士研究生调剂服务系统”填写调剂志愿和有关信息。已经被录取的考生不得参加调剂。</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3.学院严格按照规定审核，在“全国硕士研究生招生调剂服务系统”向可参加复试的考生发送复试通知。收到复试通知的考生须在调剂系统规定时间内在系统中回复确认复试通知。</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4.考生按学院要求参加复试。</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5.学院初步确定拟录取名单后，报研究生院备案，由学校在“全国硕士生招生调剂服务系统”向调剂考生发送拟录取通知。收到拟录取通知的调剂考生须在系统规定时间内在系统中回复确认拟录取通知。</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6.考生未在规定时间内完成学校规定操作或随意解除志愿的，则视为自动放弃复试或拟录取资格。</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7.复试内容及程序、复试成绩及总成绩计算办法、体检及拟录取等其他未尽事宜，均按照我院官网公告《植物保护学院关于2023年硕士研究生复试录取工作办法》执行。</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16"/>
          <w:szCs w:val="16"/>
          <w:shd w:val="clear" w:fill="FFFFFF"/>
          <w:lang w:val="en-US" w:eastAsia="zh-CN" w:bidi="ar"/>
        </w:rPr>
        <w:t>五、联系方式</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诚挚欢迎符合调剂条件考生调剂到我院</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咨询电话：孙老师  0371-56552793;</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地    址：河南省郑州市郑东新区龙子湖高校区15号第二实验楼植物保护学院中409。</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w:t>
      </w:r>
      <w:r>
        <w:rPr>
          <w:rFonts w:hint="eastAsia" w:ascii="微软雅黑" w:hAnsi="微软雅黑" w:eastAsia="微软雅黑" w:cs="微软雅黑"/>
          <w:i w:val="0"/>
          <w:caps w:val="0"/>
          <w:color w:val="000000"/>
          <w:spacing w:val="0"/>
          <w:kern w:val="0"/>
          <w:sz w:val="16"/>
          <w:szCs w:val="16"/>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03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2023-05-21T02:11:28Z</dcterms:created>
  <dc:creator>86188</dc:creator>
  <cp:lastModifiedBy>随风而动</cp:lastModifiedBy>
  <dcterms:modified xsi:type="dcterms:W3CDTF">2023-05-21T02:11:29Z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