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ascii="微软雅黑" w:hAnsi="微软雅黑" w:eastAsia="微软雅黑" w:cs="微软雅黑"/>
          <w:i w:val="0"/>
          <w:caps w:val="0"/>
          <w:color w:val="9C0B00"/>
          <w:spacing w:val="0"/>
          <w:sz w:val="24"/>
          <w:szCs w:val="24"/>
        </w:rPr>
      </w:pPr>
      <w:r>
        <w:rPr>
          <w:rFonts w:hint="eastAsia" w:ascii="微软雅黑" w:hAnsi="微软雅黑" w:eastAsia="微软雅黑" w:cs="微软雅黑"/>
          <w:i w:val="0"/>
          <w:caps w:val="0"/>
          <w:color w:val="9C0B00"/>
          <w:spacing w:val="0"/>
          <w:sz w:val="24"/>
          <w:szCs w:val="24"/>
          <w:bdr w:val="none" w:color="auto" w:sz="0" w:space="0"/>
          <w:shd w:val="clear" w:fill="FFFFFF"/>
        </w:rPr>
        <w:t>河南农业大学烟草学院2023年硕士研究生招生 调剂工作办法</w:t>
      </w:r>
    </w:p>
    <w:p>
      <w:pPr>
        <w:keepNext w:val="0"/>
        <w:keepLines w:val="0"/>
        <w:widowControl/>
        <w:suppressLineNumbers w:val="0"/>
        <w:shd w:val="clear" w:fill="FFFFFF"/>
        <w:spacing w:before="300" w:beforeAutospacing="0" w:after="0" w:afterAutospacing="0" w:line="390" w:lineRule="atLeast"/>
        <w:ind w:left="0" w:right="0" w:firstLine="0"/>
        <w:jc w:val="center"/>
        <w:rPr>
          <w:rFonts w:hint="eastAsia" w:ascii="微软雅黑" w:hAnsi="微软雅黑" w:eastAsia="微软雅黑" w:cs="微软雅黑"/>
          <w:i w:val="0"/>
          <w:caps w:val="0"/>
          <w:color w:val="000000"/>
          <w:spacing w:val="0"/>
          <w:sz w:val="14"/>
          <w:szCs w:val="14"/>
        </w:rPr>
      </w:pPr>
      <w:r>
        <w:rPr>
          <w:rFonts w:hint="eastAsia" w:ascii="微软雅黑" w:hAnsi="微软雅黑" w:eastAsia="微软雅黑" w:cs="微软雅黑"/>
          <w:i w:val="0"/>
          <w:caps w:val="0"/>
          <w:color w:val="000000"/>
          <w:spacing w:val="0"/>
          <w:kern w:val="0"/>
          <w:sz w:val="14"/>
          <w:szCs w:val="14"/>
          <w:shd w:val="clear" w:fill="FFFFFF"/>
          <w:lang w:val="en-US" w:eastAsia="zh-CN" w:bidi="ar"/>
        </w:rPr>
        <w:t>发布时间：2023-04-11 16:34    浏览次数：631</w:t>
      </w:r>
    </w:p>
    <w:p>
      <w:pPr>
        <w:keepNext w:val="0"/>
        <w:keepLines w:val="0"/>
        <w:widowControl/>
        <w:suppressLineNumbers w:val="0"/>
        <w:pBdr>
          <w:top w:val="dashed" w:color="C9C9C9" w:sz="4" w:space="10"/>
          <w:left w:val="none" w:color="auto" w:sz="0" w:space="0"/>
          <w:bottom w:val="none" w:color="auto" w:sz="0" w:space="0"/>
          <w:right w:val="none" w:color="auto" w:sz="0" w:space="0"/>
        </w:pBdr>
        <w:shd w:val="clear" w:fill="FFFFFF"/>
        <w:spacing w:before="0" w:beforeAutospacing="0" w:after="0" w:afterAutospacing="0" w:line="320" w:lineRule="atLeast"/>
        <w:ind w:left="400" w:right="400" w:firstLine="0"/>
        <w:jc w:val="left"/>
        <w:rPr>
          <w:rFonts w:hint="eastAsia" w:ascii="微软雅黑" w:hAnsi="微软雅黑" w:eastAsia="微软雅黑" w:cs="微软雅黑"/>
          <w:i w:val="0"/>
          <w:caps w:val="0"/>
          <w:color w:val="000000"/>
          <w:spacing w:val="0"/>
          <w:sz w:val="16"/>
          <w:szCs w:val="16"/>
        </w:rPr>
      </w:pP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按照教育部、河南省教育考试院和河南农业大学等有关文件要求，为加强和规范研究生招生调剂工作，结合我院2023年硕士研究生招生工作实际情况，特制定本办法。 </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Style w:val="5"/>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一、</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w:t>
      </w:r>
      <w:r>
        <w:rPr>
          <w:rStyle w:val="5"/>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接收调剂专业及缺额</w:t>
      </w:r>
    </w:p>
    <w:tbl>
      <w:tblPr>
        <w:tblW w:w="7920" w:type="dxa"/>
        <w:tblInd w:w="40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649"/>
        <w:gridCol w:w="1647"/>
        <w:gridCol w:w="1644"/>
        <w:gridCol w:w="1644"/>
        <w:gridCol w:w="1336"/>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10" w:hRule="atLeast"/>
        </w:trPr>
        <w:tc>
          <w:tcPr>
            <w:tcW w:w="1641"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line="168" w:lineRule="atLeast"/>
              <w:jc w:val="center"/>
              <w:rPr>
                <w:sz w:val="14"/>
                <w:szCs w:val="14"/>
              </w:rPr>
            </w:pPr>
            <w:r>
              <w:rPr>
                <w:rStyle w:val="5"/>
                <w:rFonts w:ascii="宋体" w:hAnsi="宋体" w:eastAsia="宋体" w:cs="宋体"/>
                <w:kern w:val="0"/>
                <w:sz w:val="14"/>
                <w:szCs w:val="14"/>
                <w:bdr w:val="none" w:color="auto" w:sz="0" w:space="0"/>
                <w:lang w:val="en-US" w:eastAsia="zh-CN" w:bidi="ar"/>
              </w:rPr>
              <w:t>学位类型</w:t>
            </w:r>
          </w:p>
        </w:tc>
        <w:tc>
          <w:tcPr>
            <w:tcW w:w="1639"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line="168" w:lineRule="atLeast"/>
              <w:jc w:val="center"/>
              <w:rPr>
                <w:sz w:val="14"/>
                <w:szCs w:val="14"/>
              </w:rPr>
            </w:pPr>
            <w:r>
              <w:rPr>
                <w:rStyle w:val="5"/>
                <w:rFonts w:ascii="宋体" w:hAnsi="宋体" w:eastAsia="宋体" w:cs="宋体"/>
                <w:kern w:val="0"/>
                <w:sz w:val="14"/>
                <w:szCs w:val="14"/>
                <w:bdr w:val="none" w:color="auto" w:sz="0" w:space="0"/>
                <w:lang w:val="en-US" w:eastAsia="zh-CN" w:bidi="ar"/>
              </w:rPr>
              <w:t>专业代码</w:t>
            </w:r>
          </w:p>
        </w:tc>
        <w:tc>
          <w:tcPr>
            <w:tcW w:w="1636"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line="168" w:lineRule="atLeast"/>
              <w:jc w:val="center"/>
              <w:rPr>
                <w:sz w:val="14"/>
                <w:szCs w:val="14"/>
              </w:rPr>
            </w:pPr>
            <w:r>
              <w:rPr>
                <w:rStyle w:val="5"/>
                <w:rFonts w:ascii="宋体" w:hAnsi="宋体" w:eastAsia="宋体" w:cs="宋体"/>
                <w:kern w:val="0"/>
                <w:sz w:val="14"/>
                <w:szCs w:val="14"/>
                <w:bdr w:val="none" w:color="auto" w:sz="0" w:space="0"/>
                <w:lang w:val="en-US" w:eastAsia="zh-CN" w:bidi="ar"/>
              </w:rPr>
              <w:t>专业名称</w:t>
            </w:r>
          </w:p>
        </w:tc>
        <w:tc>
          <w:tcPr>
            <w:tcW w:w="1636"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line="168" w:lineRule="atLeast"/>
              <w:jc w:val="center"/>
              <w:rPr>
                <w:sz w:val="14"/>
                <w:szCs w:val="14"/>
              </w:rPr>
            </w:pPr>
            <w:r>
              <w:rPr>
                <w:rStyle w:val="5"/>
                <w:rFonts w:ascii="宋体" w:hAnsi="宋体" w:eastAsia="宋体" w:cs="宋体"/>
                <w:kern w:val="0"/>
                <w:sz w:val="14"/>
                <w:szCs w:val="14"/>
                <w:bdr w:val="none" w:color="auto" w:sz="0" w:space="0"/>
                <w:lang w:val="en-US" w:eastAsia="zh-CN" w:bidi="ar"/>
              </w:rPr>
              <w:t>学习方式</w:t>
            </w:r>
          </w:p>
        </w:tc>
        <w:tc>
          <w:tcPr>
            <w:tcW w:w="1328"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line="168" w:lineRule="atLeast"/>
              <w:jc w:val="center"/>
              <w:rPr>
                <w:sz w:val="14"/>
                <w:szCs w:val="14"/>
              </w:rPr>
            </w:pPr>
            <w:r>
              <w:rPr>
                <w:rStyle w:val="5"/>
                <w:rFonts w:ascii="宋体" w:hAnsi="宋体" w:eastAsia="宋体" w:cs="宋体"/>
                <w:kern w:val="0"/>
                <w:sz w:val="14"/>
                <w:szCs w:val="14"/>
                <w:bdr w:val="none" w:color="auto" w:sz="0" w:space="0"/>
                <w:lang w:val="en-US" w:eastAsia="zh-CN" w:bidi="ar"/>
              </w:rPr>
              <w:t>缺额人数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340" w:hRule="atLeast"/>
        </w:trPr>
        <w:tc>
          <w:tcPr>
            <w:tcW w:w="1641"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line="168" w:lineRule="atLeast"/>
              <w:jc w:val="center"/>
              <w:rPr>
                <w:sz w:val="14"/>
                <w:szCs w:val="14"/>
              </w:rPr>
            </w:pPr>
            <w:r>
              <w:rPr>
                <w:rFonts w:ascii="宋体" w:hAnsi="宋体" w:eastAsia="宋体" w:cs="宋体"/>
                <w:kern w:val="0"/>
                <w:sz w:val="14"/>
                <w:szCs w:val="14"/>
                <w:bdr w:val="none" w:color="auto" w:sz="0" w:space="0"/>
                <w:lang w:val="en-US" w:eastAsia="zh-CN" w:bidi="ar"/>
              </w:rPr>
              <w:t>专业学位</w:t>
            </w:r>
          </w:p>
        </w:tc>
        <w:tc>
          <w:tcPr>
            <w:tcW w:w="1639"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line="168" w:lineRule="atLeast"/>
              <w:jc w:val="center"/>
              <w:rPr>
                <w:sz w:val="14"/>
                <w:szCs w:val="14"/>
              </w:rPr>
            </w:pPr>
            <w:r>
              <w:rPr>
                <w:rFonts w:ascii="宋体" w:hAnsi="宋体" w:eastAsia="宋体" w:cs="宋体"/>
                <w:kern w:val="0"/>
                <w:sz w:val="14"/>
                <w:szCs w:val="14"/>
                <w:bdr w:val="none" w:color="auto" w:sz="0" w:space="0"/>
                <w:lang w:val="en-US" w:eastAsia="zh-CN" w:bidi="ar"/>
              </w:rPr>
              <w:t>095131</w:t>
            </w:r>
          </w:p>
        </w:tc>
        <w:tc>
          <w:tcPr>
            <w:tcW w:w="1636"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line="168" w:lineRule="atLeast"/>
              <w:jc w:val="center"/>
              <w:rPr>
                <w:sz w:val="14"/>
                <w:szCs w:val="14"/>
              </w:rPr>
            </w:pPr>
            <w:r>
              <w:rPr>
                <w:rFonts w:ascii="宋体" w:hAnsi="宋体" w:eastAsia="宋体" w:cs="宋体"/>
                <w:kern w:val="0"/>
                <w:sz w:val="14"/>
                <w:szCs w:val="14"/>
                <w:bdr w:val="none" w:color="auto" w:sz="0" w:space="0"/>
                <w:lang w:val="en-US" w:eastAsia="zh-CN" w:bidi="ar"/>
              </w:rPr>
              <w:t>农业与种业</w:t>
            </w:r>
          </w:p>
        </w:tc>
        <w:tc>
          <w:tcPr>
            <w:tcW w:w="1636"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line="168" w:lineRule="atLeast"/>
              <w:jc w:val="center"/>
              <w:rPr>
                <w:sz w:val="14"/>
                <w:szCs w:val="14"/>
              </w:rPr>
            </w:pPr>
            <w:r>
              <w:rPr>
                <w:rFonts w:ascii="宋体" w:hAnsi="宋体" w:eastAsia="宋体" w:cs="宋体"/>
                <w:kern w:val="0"/>
                <w:sz w:val="14"/>
                <w:szCs w:val="14"/>
                <w:bdr w:val="none" w:color="auto" w:sz="0" w:space="0"/>
                <w:lang w:val="en-US" w:eastAsia="zh-CN" w:bidi="ar"/>
              </w:rPr>
              <w:t>非全日制</w:t>
            </w:r>
          </w:p>
        </w:tc>
        <w:tc>
          <w:tcPr>
            <w:tcW w:w="1328"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line="168" w:lineRule="atLeast"/>
              <w:jc w:val="center"/>
              <w:rPr>
                <w:sz w:val="14"/>
                <w:szCs w:val="14"/>
              </w:rPr>
            </w:pPr>
            <w:r>
              <w:rPr>
                <w:rFonts w:ascii="宋体" w:hAnsi="宋体" w:eastAsia="宋体" w:cs="宋体"/>
                <w:kern w:val="0"/>
                <w:sz w:val="14"/>
                <w:szCs w:val="14"/>
                <w:bdr w:val="none" w:color="auto" w:sz="0" w:space="0"/>
                <w:lang w:val="en-US" w:eastAsia="zh-CN" w:bidi="ar"/>
              </w:rPr>
              <w:t>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340" w:hRule="atLeast"/>
        </w:trPr>
        <w:tc>
          <w:tcPr>
            <w:tcW w:w="1641"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line="168" w:lineRule="atLeast"/>
              <w:jc w:val="center"/>
              <w:rPr>
                <w:sz w:val="14"/>
                <w:szCs w:val="14"/>
              </w:rPr>
            </w:pPr>
            <w:r>
              <w:rPr>
                <w:rFonts w:ascii="宋体" w:hAnsi="宋体" w:eastAsia="宋体" w:cs="宋体"/>
                <w:kern w:val="0"/>
                <w:sz w:val="14"/>
                <w:szCs w:val="14"/>
                <w:bdr w:val="none" w:color="auto" w:sz="0" w:space="0"/>
                <w:lang w:val="en-US" w:eastAsia="zh-CN" w:bidi="ar"/>
              </w:rPr>
              <w:t>专业学位</w:t>
            </w:r>
          </w:p>
        </w:tc>
        <w:tc>
          <w:tcPr>
            <w:tcW w:w="1639"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line="168" w:lineRule="atLeast"/>
              <w:jc w:val="center"/>
              <w:rPr>
                <w:sz w:val="14"/>
                <w:szCs w:val="14"/>
              </w:rPr>
            </w:pPr>
            <w:r>
              <w:rPr>
                <w:rFonts w:ascii="宋体" w:hAnsi="宋体" w:eastAsia="宋体" w:cs="宋体"/>
                <w:kern w:val="0"/>
                <w:sz w:val="14"/>
                <w:szCs w:val="14"/>
                <w:bdr w:val="none" w:color="auto" w:sz="0" w:space="0"/>
                <w:lang w:val="en-US" w:eastAsia="zh-CN" w:bidi="ar"/>
              </w:rPr>
              <w:t>095131</w:t>
            </w:r>
          </w:p>
        </w:tc>
        <w:tc>
          <w:tcPr>
            <w:tcW w:w="1636"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line="168" w:lineRule="atLeast"/>
              <w:jc w:val="center"/>
              <w:rPr>
                <w:sz w:val="14"/>
                <w:szCs w:val="14"/>
              </w:rPr>
            </w:pPr>
            <w:r>
              <w:rPr>
                <w:rFonts w:ascii="宋体" w:hAnsi="宋体" w:eastAsia="宋体" w:cs="宋体"/>
                <w:kern w:val="0"/>
                <w:sz w:val="14"/>
                <w:szCs w:val="14"/>
                <w:bdr w:val="none" w:color="auto" w:sz="0" w:space="0"/>
                <w:lang w:val="en-US" w:eastAsia="zh-CN" w:bidi="ar"/>
              </w:rPr>
              <w:t>农业与种业（士兵计划）</w:t>
            </w:r>
          </w:p>
        </w:tc>
        <w:tc>
          <w:tcPr>
            <w:tcW w:w="1636"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line="168" w:lineRule="atLeast"/>
              <w:jc w:val="center"/>
              <w:rPr>
                <w:sz w:val="14"/>
                <w:szCs w:val="14"/>
              </w:rPr>
            </w:pPr>
            <w:r>
              <w:rPr>
                <w:rFonts w:ascii="宋体" w:hAnsi="宋体" w:eastAsia="宋体" w:cs="宋体"/>
                <w:kern w:val="0"/>
                <w:sz w:val="14"/>
                <w:szCs w:val="14"/>
                <w:bdr w:val="none" w:color="auto" w:sz="0" w:space="0"/>
                <w:lang w:val="en-US" w:eastAsia="zh-CN" w:bidi="ar"/>
              </w:rPr>
              <w:t>非全日制</w:t>
            </w:r>
          </w:p>
        </w:tc>
        <w:tc>
          <w:tcPr>
            <w:tcW w:w="1328"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line="168" w:lineRule="atLeast"/>
              <w:jc w:val="center"/>
              <w:rPr>
                <w:sz w:val="14"/>
                <w:szCs w:val="14"/>
              </w:rPr>
            </w:pPr>
            <w:r>
              <w:rPr>
                <w:rFonts w:ascii="宋体" w:hAnsi="宋体" w:eastAsia="宋体" w:cs="宋体"/>
                <w:kern w:val="0"/>
                <w:sz w:val="14"/>
                <w:szCs w:val="14"/>
                <w:bdr w:val="none" w:color="auto" w:sz="0" w:space="0"/>
                <w:lang w:val="en-US" w:eastAsia="zh-CN" w:bidi="ar"/>
              </w:rPr>
              <w:t>1</w:t>
            </w:r>
          </w:p>
        </w:tc>
      </w:tr>
    </w:tbl>
    <w:p>
      <w:pPr>
        <w:keepNext w:val="0"/>
        <w:keepLines w:val="0"/>
        <w:widowControl/>
        <w:suppressLineNumbers w:val="0"/>
        <w:spacing w:before="0" w:beforeAutospacing="0" w:after="0" w:afterAutospacing="0"/>
        <w:ind w:left="400" w:right="400"/>
        <w:jc w:val="left"/>
      </w:pPr>
      <w:r>
        <w:rPr>
          <w:rStyle w:val="5"/>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二、</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w:t>
      </w:r>
      <w:r>
        <w:rPr>
          <w:rStyle w:val="5"/>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调剂系统开放时间</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调剂开通时间：2023年4月11日20:00至2023年4月12日15:00，调剂志愿锁定时间24个小时。    </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Style w:val="5"/>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三、 调剂基本要求</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Style w:val="5"/>
          <w:rFonts w:hint="eastAsia" w:ascii="微软雅黑" w:hAnsi="微软雅黑" w:eastAsia="微软雅黑" w:cs="微软雅黑"/>
          <w:i w:val="0"/>
          <w:caps w:val="0"/>
          <w:color w:val="000000"/>
          <w:spacing w:val="0"/>
          <w:kern w:val="0"/>
          <w:sz w:val="12"/>
          <w:szCs w:val="12"/>
          <w:bdr w:val="none" w:color="auto" w:sz="0" w:space="0"/>
          <w:shd w:val="clear" w:fill="FFFFFF"/>
          <w:lang w:val="en-US" w:eastAsia="zh-CN" w:bidi="ar"/>
        </w:rPr>
        <w:t>        </w:t>
      </w:r>
      <w:r>
        <w:rPr>
          <w:rStyle w:val="5"/>
          <w:rFonts w:hint="eastAsia" w:ascii="微软雅黑" w:hAnsi="微软雅黑" w:eastAsia="微软雅黑" w:cs="微软雅黑"/>
          <w:i w:val="0"/>
          <w:caps w:val="0"/>
          <w:color w:val="000000"/>
          <w:spacing w:val="0"/>
          <w:kern w:val="0"/>
          <w:sz w:val="14"/>
          <w:szCs w:val="14"/>
          <w:bdr w:val="none" w:color="auto" w:sz="0" w:space="0"/>
          <w:shd w:val="clear" w:fill="FFFFFF"/>
          <w:lang w:val="en-US" w:eastAsia="zh-CN" w:bidi="ar"/>
        </w:rPr>
        <w:t>（一）2023年我院接收调剂生基本条件：</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1. 符合调入专业的报考条件。</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2. 初试成绩符合第一志愿报考专业所在学科门类的初试成绩基本要求。</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3. 调入专业与第一志愿报考专业相同或相近，应在同一学科门类范围内。</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4. 初试科目与调入专业初试科目相同或相近，其中统考科目原则上应相同， 但统考科目之间调剂时必须综合考虑难度差异、培养需求等因素。</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5. 第一志愿报考我院全日制专业（含烟草学、烟草科学与工程及农艺与种业）的考生。</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6.学院接收调剂生时，坚持择优遴选的原则（复试工作小组综合考虑考生所学专业、报考专业、初试成绩确定最终进入调剂的考生名单）。</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7. 不接受同等学力考生调剂申请。</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8.所有调剂考生必须通过教育部指定的“全国硕士生招生调剂服务系统”进行，未通过该系统调剂录取的考生一律无效。</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9.报考“退役大学生士兵”专项计划的考生，申请调剂到普通计划，其初试成绩须达到相应专业进入复试的要求。符合条件的，可按规定享受退役大学生士兵初试加分政策。</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Style w:val="5"/>
          <w:rFonts w:hint="eastAsia" w:ascii="微软雅黑" w:hAnsi="微软雅黑" w:eastAsia="微软雅黑" w:cs="微软雅黑"/>
          <w:i w:val="0"/>
          <w:caps w:val="0"/>
          <w:color w:val="000000"/>
          <w:spacing w:val="0"/>
          <w:kern w:val="0"/>
          <w:sz w:val="14"/>
          <w:szCs w:val="14"/>
          <w:bdr w:val="none" w:color="auto" w:sz="0" w:space="0"/>
          <w:shd w:val="clear" w:fill="FFFFFF"/>
          <w:lang w:val="en-US" w:eastAsia="zh-CN" w:bidi="ar"/>
        </w:rPr>
        <w:t>       （二）调剂志愿填报系统开放和考生志愿锁定时间</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根据学院招生工作的实际需要，申请开放调剂系统，本次调剂窗口于2023年4月11日20:00开放，调剂志愿锁定时间学校统一设定为24小时。如个别考生需要提前解锁，可联系学院研究生教务员老师。我院对申请调剂考生会尽快给出受理意见，尽可能缩短考生调剂等待时间。同时及时解答考生咨询，确保信息沟通及时、畅通，积极利用调剂系统在线留言功能、咨询电话等渠道为考生提供良好的服务。</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Style w:val="5"/>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四、调剂具体要求</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1. 我院在调剂系统关闭后会及时向考生反馈是否接受其调剂复试申请。</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2. 我院对调剂考生进行复试资格审核，资格审核根据调剂办法中调剂要求进行，资格审查不合格者不予调剂。</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Style w:val="5"/>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五、调剂程序</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1. 调剂考生在我院规定的时间内登陆“全国硕士生招生调剂服务系统”填写调剂志愿和有关信息。</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2. 我院严格按照规定审核，在“全国硕士研究生招生调剂服务系统”向符合条件的考生发送复试通知。</w:t>
      </w:r>
      <w:r>
        <w:rPr>
          <w:rStyle w:val="5"/>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收到复试通知的考生须在系统规定时间内在系统中回复确认复试通知。</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3. 考生按学院要求参加复试。</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4. 我院初步确定拟录取名单后，报研究生院备案，由学校在“全国硕士生招生调剂服务系统”向调剂考生发送待录取通知。收到待录取通知的调剂考生须在系统规定时间内在系统中回复确认待录取通知。</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5. 考生未在规定时间内完成学校规定操作或随意解除志愿的，则视为自动放弃复试或拟录取资格。</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六、复试内容及程序、复试成绩及总成绩计算办法、体检及拟录取等其他未尽事宜，均按照我院官网公告《河南农业大学烟草学院 2023年硕士研究生复试录取工作办法》执行。</w:t>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caps w:val="0"/>
          <w:color w:val="000000"/>
          <w:spacing w:val="0"/>
          <w:kern w:val="0"/>
          <w:sz w:val="16"/>
          <w:szCs w:val="16"/>
          <w:bdr w:val="none" w:color="auto" w:sz="0" w:space="0"/>
          <w:shd w:val="clear" w:fill="FFFFFF"/>
          <w:lang w:val="en-US" w:eastAsia="zh-CN" w:bidi="ar"/>
        </w:rPr>
        <w:t>       联系人及电话：张老师 0371-68555219/68555220</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55D53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2023-05-21T02:14:06Z</dcterms:created>
  <dc:creator>86188</dc:creator>
  <cp:lastModifiedBy>随风而动</cp:lastModifiedBy>
  <dcterms:modified xsi:type="dcterms:W3CDTF">2023-05-21T02:14:07Z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