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pBdr>
        <w:shd w:val="clear" w:fill="FFFFFF"/>
        <w:spacing w:before="200" w:beforeAutospacing="0" w:after="100" w:afterAutospacing="0" w:line="360" w:lineRule="atLeast"/>
        <w:ind w:left="0" w:right="0" w:firstLine="0"/>
        <w:jc w:val="center"/>
        <w:rPr>
          <w:rFonts w:ascii="微软雅黑" w:hAnsi="微软雅黑" w:eastAsia="微软雅黑" w:cs="微软雅黑"/>
          <w:i w:val="0"/>
          <w:caps w:val="0"/>
          <w:color w:val="00522A"/>
          <w:spacing w:val="0"/>
          <w:sz w:val="24"/>
          <w:szCs w:val="24"/>
        </w:rPr>
      </w:pPr>
      <w:r>
        <w:rPr>
          <w:rFonts w:hint="eastAsia" w:ascii="微软雅黑" w:hAnsi="微软雅黑" w:eastAsia="微软雅黑" w:cs="微软雅黑"/>
          <w:i w:val="0"/>
          <w:caps w:val="0"/>
          <w:color w:val="00522A"/>
          <w:spacing w:val="0"/>
          <w:sz w:val="24"/>
          <w:szCs w:val="24"/>
          <w:shd w:val="clear" w:fill="FFFFFF"/>
        </w:rPr>
        <w:t>生命科学学院2023年硕士研究生招生调剂公告</w:t>
      </w:r>
    </w:p>
    <w:p>
      <w:pPr>
        <w:keepNext w:val="0"/>
        <w:keepLines w:val="0"/>
        <w:widowControl/>
        <w:suppressLineNumbers w:val="0"/>
        <w:shd w:val="clear" w:fill="FFFFFF"/>
        <w:spacing w:before="300" w:beforeAutospacing="0" w:after="0" w:afterAutospacing="0" w:line="390" w:lineRule="atLeast"/>
        <w:ind w:left="0" w:right="0" w:firstLine="0"/>
        <w:jc w:val="center"/>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shd w:val="clear" w:fill="FFFFFF"/>
          <w:lang w:val="en-US" w:eastAsia="zh-CN" w:bidi="ar"/>
        </w:rPr>
        <w:t>发布时间：2023-04-10 17:10    浏览次数：1395</w:t>
      </w:r>
    </w:p>
    <w:p>
      <w:pPr>
        <w:keepNext w:val="0"/>
        <w:keepLines w:val="0"/>
        <w:widowControl/>
        <w:suppressLineNumbers w:val="0"/>
        <w:pBdr>
          <w:top w:val="dashed" w:color="C9C9C9" w:sz="4" w:space="10"/>
          <w:left w:val="none" w:color="auto" w:sz="0" w:space="0"/>
          <w:bottom w:val="none" w:color="auto" w:sz="0" w:space="0"/>
          <w:right w:val="none" w:color="auto" w:sz="0" w:space="0"/>
        </w:pBdr>
        <w:shd w:val="clear" w:fill="FFFFFF"/>
        <w:spacing w:before="0" w:beforeAutospacing="0" w:after="0" w:afterAutospacing="0" w:line="320" w:lineRule="atLeast"/>
        <w:ind w:left="400" w:right="400" w:firstLine="0"/>
        <w:jc w:val="left"/>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t>        一、接收调剂专业、调剂名额</w:t>
      </w:r>
      <w:bookmarkStart w:id="0" w:name="_GoBack"/>
      <w:bookmarkEnd w:id="0"/>
    </w:p>
    <w:p>
      <w:pPr>
        <w:keepNext w:val="0"/>
        <w:keepLines w:val="0"/>
        <w:widowControl/>
        <w:suppressLineNumbers w:val="0"/>
        <w:pBdr>
          <w:top w:val="dashed" w:color="C9C9C9" w:sz="4" w:space="10"/>
          <w:left w:val="none" w:color="auto" w:sz="0" w:space="0"/>
          <w:bottom w:val="none" w:color="auto" w:sz="0" w:space="0"/>
          <w:right w:val="none" w:color="auto" w:sz="0" w:space="0"/>
        </w:pBdr>
        <w:shd w:val="clear" w:fill="FFFFFF"/>
        <w:spacing w:before="0" w:beforeAutospacing="0" w:after="0" w:afterAutospacing="0" w:line="320" w:lineRule="atLeast"/>
        <w:ind w:left="400" w:right="400" w:firstLine="0"/>
        <w:jc w:val="center"/>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drawing>
          <wp:inline distT="0" distB="0" distL="114300" distR="114300">
            <wp:extent cx="5645150" cy="2574290"/>
            <wp:effectExtent l="0" t="0" r="6350" b="381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5645150" cy="2574290"/>
                    </a:xfrm>
                    <a:prstGeom prst="rect">
                      <a:avLst/>
                    </a:prstGeom>
                    <a:noFill/>
                    <a:ln w="9525">
                      <a:noFill/>
                    </a:ln>
                  </pic:spPr>
                </pic:pic>
              </a:graphicData>
            </a:graphic>
          </wp:inline>
        </w:drawing>
      </w:r>
    </w:p>
    <w:p>
      <w:pPr>
        <w:keepNext w:val="0"/>
        <w:keepLines w:val="0"/>
        <w:widowControl/>
        <w:suppressLineNumbers w:val="0"/>
        <w:pBdr>
          <w:top w:val="dashed" w:color="C9C9C9" w:sz="4" w:space="10"/>
          <w:left w:val="none" w:color="auto" w:sz="0" w:space="0"/>
          <w:bottom w:val="none" w:color="auto" w:sz="0" w:space="0"/>
          <w:right w:val="none" w:color="auto" w:sz="0" w:space="0"/>
        </w:pBdr>
        <w:shd w:val="clear" w:fill="FFFFFF"/>
        <w:spacing w:before="0" w:beforeAutospacing="0" w:after="0" w:afterAutospacing="0" w:line="320" w:lineRule="atLeast"/>
        <w:ind w:left="400" w:right="400" w:firstLine="0"/>
        <w:jc w:val="left"/>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t>        二、调剂系统开放时间</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2023年4月10日18:00—2023年4月11日08:00</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w:t>
      </w:r>
      <w:r>
        <w:rPr>
          <w:rStyle w:val="5"/>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t>三、调剂基本条件</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1.符合调入专业的报考条件。</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2.初试成绩符合第一志愿报考专业所在学科门类的初试成绩基本要求。</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3.调入专业与第一志愿报考专业相同或相近，应在同一学科门类范围内。</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4.初试科目与调入专业初试科目相同或相近，其中初试全国统一命题科目应与调入专业全国统一命题科目相同。第一志愿报考我院考生优先进入复试，其他调剂考生需同时满足以下条件：</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Style w:val="5"/>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t>        遗传学：</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1.全日制本科生；2.通过英语四级考试；3.初试英语成绩不低于50分。</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Style w:val="5"/>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t>        生物化学与分子生物学：</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1.本科专业为生物学相关专业：生物技术，生物工程，生物科学专业；2.初试考试科目一门为生物化学，另一门为分子生物学或细胞生物学或植物生理学；3.初试英语成绩不低于45分。</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5.满足教育部规定和《河南农业大学2023年硕士研究生复试录取工作办法》的调剂录取条件。</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w:t>
      </w:r>
      <w:r>
        <w:rPr>
          <w:rStyle w:val="5"/>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t>6.调剂不接收同等学力考生。</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7.报考“退役大学生士兵”专项计划的考生，申请调剂到普通计划，其初试成绩须达到相应专业进入复试的要求。符合条件的，可按规定享受退役大学生士兵初试加分政策。</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w:t>
      </w:r>
      <w:r>
        <w:rPr>
          <w:rStyle w:val="5"/>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t>四、调剂具体要求</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1. 我院在调剂系统关闭后会及时向考生反馈是否接受其调剂复试申请。</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2.各专业对调剂考生进行复试资格审核，资格审核根据调剂办法中调剂要求进行，资格审查不合格者不予调剂。</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3.调剂复试内容要求与一志愿考生复试内容要求一致。</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Style w:val="5"/>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t>        五、调剂程序</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1.学院发布接收调剂通知，公布接收调剂信息。</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2.调剂考生（既包括接收外单位调剂考生，也包括接收本单位内部调剂考生）在学院规定的时间内登陆“全国硕士生招生调剂服务系统”填写调剂志愿和有关信息。已经被录取的考生不得参加调剂。</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3.学院严格按照规定审核，在“全国硕士研究生招生调剂服务系统”向符合条件的考生发送复试通知。收到复试通知的考生须在系统规定时间内在系统中回复确认复试通知。</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4.各学位点具体安排复试，考生按要求参加复试。</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5.学院初步确定拟录取名单后，报研究生院备案，由学校在“全国硕士生招生调剂服务系统”向调剂考生发送待录取通知。收到待录取通知的调剂考生须在系统规定时间内在系统中回复确认待录取通知。</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6.考生未在规定时间内完成学校规定操作或随意解除志愿的，则视为自动放弃复试或拟录取资格。</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w:t>
      </w:r>
      <w:r>
        <w:rPr>
          <w:rStyle w:val="5"/>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t>六、调剂复试办法</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（一）复试形式</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经学院招生工作领导小组研究决定，2023年生命科学学院硕士研究生招生复试采取现场复试的方式进行。</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（二）复试时间</w:t>
      </w:r>
    </w:p>
    <w:p>
      <w:pPr>
        <w:keepNext w:val="0"/>
        <w:keepLines w:val="0"/>
        <w:widowControl/>
        <w:suppressLineNumbers w:val="0"/>
        <w:pBdr>
          <w:top w:val="dashed" w:color="C9C9C9" w:sz="4" w:space="10"/>
          <w:left w:val="none" w:color="auto" w:sz="0" w:space="0"/>
          <w:bottom w:val="none" w:color="auto" w:sz="0" w:space="0"/>
          <w:right w:val="none" w:color="auto" w:sz="0" w:space="0"/>
        </w:pBdr>
        <w:shd w:val="clear" w:fill="FFFFFF"/>
        <w:spacing w:before="0" w:beforeAutospacing="0" w:after="0" w:afterAutospacing="0" w:line="320" w:lineRule="atLeast"/>
        <w:ind w:left="400" w:right="400" w:firstLine="0"/>
        <w:jc w:val="center"/>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drawing>
          <wp:inline distT="0" distB="0" distL="114300" distR="114300">
            <wp:extent cx="5661025" cy="3305175"/>
            <wp:effectExtent l="0" t="0" r="3175" b="952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5661025" cy="3305175"/>
                    </a:xfrm>
                    <a:prstGeom prst="rect">
                      <a:avLst/>
                    </a:prstGeom>
                    <a:noFill/>
                    <a:ln w="9525">
                      <a:noFill/>
                    </a:ln>
                  </pic:spPr>
                </pic:pic>
              </a:graphicData>
            </a:graphic>
          </wp:inline>
        </w:drawing>
      </w:r>
    </w:p>
    <w:p>
      <w:pPr>
        <w:keepNext w:val="0"/>
        <w:keepLines w:val="0"/>
        <w:widowControl/>
        <w:suppressLineNumbers w:val="0"/>
        <w:pBdr>
          <w:top w:val="dashed" w:color="C9C9C9" w:sz="4" w:space="10"/>
          <w:left w:val="none" w:color="auto" w:sz="0" w:space="0"/>
          <w:bottom w:val="none" w:color="auto" w:sz="0" w:space="0"/>
          <w:right w:val="none" w:color="auto" w:sz="0" w:space="0"/>
        </w:pBdr>
        <w:shd w:val="clear" w:fill="FFFFFF"/>
        <w:spacing w:before="0" w:beforeAutospacing="0" w:after="0" w:afterAutospacing="0" w:line="320" w:lineRule="atLeast"/>
        <w:ind w:left="400" w:right="400" w:firstLine="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复试资格审查、复试内容及程序、复试成绩及总成绩计算办法、体检及拟录取等其他未尽事宜，均按照我院官网公告《生命科学学院2023年硕士研究生复试录取工作办法》执行。</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欢迎符合调剂条件的考生调剂到我院，联系人及电话：郑老师，0371-68555260，邮箱：274240697@qq.com。</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F45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2023-05-21T02:27:41Z</dcterms:created>
  <dc:creator>86188</dc:creator>
  <cp:lastModifiedBy>随风而动</cp:lastModifiedBy>
  <dcterms:modified xsi:type="dcterms:W3CDTF">2023-05-21T02:27:54Z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