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before="0" w:beforeAutospacing="0" w:after="0" w:afterAutospacing="0" w:line="360" w:lineRule="atLeast"/>
        <w:ind w:left="1000" w:right="1000" w:firstLine="0"/>
        <w:jc w:val="center"/>
        <w:rPr>
          <w:rFonts w:ascii="微软雅黑" w:hAnsi="微软雅黑" w:eastAsia="微软雅黑" w:cs="微软雅黑"/>
          <w:i w:val="0"/>
          <w:caps w:val="0"/>
          <w:color w:val="B50101"/>
          <w:spacing w:val="0"/>
          <w:sz w:val="28"/>
          <w:szCs w:val="28"/>
        </w:rPr>
      </w:pPr>
      <w:r>
        <w:rPr>
          <w:rFonts w:hint="eastAsia" w:ascii="微软雅黑" w:hAnsi="微软雅黑" w:eastAsia="微软雅黑" w:cs="微软雅黑"/>
          <w:i w:val="0"/>
          <w:caps w:val="0"/>
          <w:color w:val="B50101"/>
          <w:spacing w:val="0"/>
          <w:sz w:val="28"/>
          <w:szCs w:val="28"/>
          <w:bdr w:val="none" w:color="auto" w:sz="0" w:space="0"/>
          <w:shd w:val="clear" w:fill="FEFEFE"/>
        </w:rPr>
        <w:t>河南农业大学风景园林与艺术学院2023年硕士研究生招生调剂工作办法</w:t>
      </w:r>
    </w:p>
    <w:p>
      <w:pPr>
        <w:keepNext w:val="0"/>
        <w:keepLines w:val="0"/>
        <w:widowControl/>
        <w:suppressLineNumbers w:val="0"/>
        <w:pBdr>
          <w:top w:val="single" w:color="F2F2F2" w:sz="4" w:space="0"/>
          <w:bottom w:val="single" w:color="F2F2F2" w:sz="4" w:space="0"/>
        </w:pBdr>
        <w:shd w:val="clear" w:fill="FEFEFE"/>
        <w:spacing w:before="300" w:beforeAutospacing="0" w:after="0" w:afterAutospacing="0" w:line="390" w:lineRule="atLeast"/>
        <w:ind w:left="0" w:right="0" w:firstLine="0"/>
        <w:jc w:val="center"/>
        <w:rPr>
          <w:rFonts w:hint="eastAsia" w:ascii="微软雅黑" w:hAnsi="微软雅黑" w:eastAsia="微软雅黑" w:cs="微软雅黑"/>
          <w:i w:val="0"/>
          <w:caps w:val="0"/>
          <w:color w:val="ADADAD"/>
          <w:spacing w:val="0"/>
          <w:sz w:val="16"/>
          <w:szCs w:val="16"/>
        </w:rPr>
      </w:pPr>
      <w:r>
        <w:rPr>
          <w:rFonts w:hint="eastAsia" w:ascii="微软雅黑" w:hAnsi="微软雅黑" w:eastAsia="微软雅黑" w:cs="微软雅黑"/>
          <w:i w:val="0"/>
          <w:caps w:val="0"/>
          <w:color w:val="ADADAD"/>
          <w:spacing w:val="0"/>
          <w:kern w:val="0"/>
          <w:sz w:val="16"/>
          <w:szCs w:val="16"/>
          <w:shd w:val="clear" w:fill="FEFEFE"/>
          <w:lang w:val="en-US" w:eastAsia="zh-CN" w:bidi="ar"/>
        </w:rPr>
        <w:t>发布时间：2023-04-04 14:40    浏览次数：1526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line="300" w:lineRule="atLeast"/>
        <w:ind w:left="0" w:firstLine="0"/>
        <w:jc w:val="left"/>
        <w:rPr>
          <w:rFonts w:hint="eastAsia" w:ascii="微软雅黑" w:hAnsi="微软雅黑" w:eastAsia="微软雅黑" w:cs="微软雅黑"/>
          <w:i w:val="0"/>
          <w:caps w:val="0"/>
          <w:color w:val="525252"/>
          <w:spacing w:val="0"/>
          <w:sz w:val="16"/>
          <w:szCs w:val="16"/>
        </w:rPr>
      </w:pP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按照教育部、河南省教育考试院和河南农业大学等有关文件要求，为加强和规范研究生招生调剂工作，结合我院2023年硕士研究生招生工作实际情况，特制定本办法。     </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一、 接收调剂专业、缺额及分数线要求</w:t>
      </w:r>
    </w:p>
    <w:tbl>
      <w:tblPr>
        <w:tblW w:w="8277"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15" w:type="dxa"/>
          <w:left w:w="15" w:type="dxa"/>
          <w:bottom w:w="15" w:type="dxa"/>
          <w:right w:w="15" w:type="dxa"/>
        </w:tblCellMar>
      </w:tblPr>
      <w:tblGrid>
        <w:gridCol w:w="1977"/>
        <w:gridCol w:w="975"/>
        <w:gridCol w:w="1737"/>
        <w:gridCol w:w="2371"/>
        <w:gridCol w:w="121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944"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调剂专业或方向</w:t>
            </w:r>
          </w:p>
        </w:tc>
        <w:tc>
          <w:tcPr>
            <w:tcW w:w="958"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类型</w:t>
            </w:r>
          </w:p>
        </w:tc>
        <w:tc>
          <w:tcPr>
            <w:tcW w:w="1707"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调剂名额</w:t>
            </w:r>
          </w:p>
        </w:tc>
        <w:tc>
          <w:tcPr>
            <w:tcW w:w="2331"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成绩要求</w:t>
            </w:r>
          </w:p>
        </w:tc>
        <w:tc>
          <w:tcPr>
            <w:tcW w:w="1196"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Style w:val="5"/>
                <w:rFonts w:ascii="宋体" w:hAnsi="宋体" w:eastAsia="宋体" w:cs="宋体"/>
                <w:kern w:val="0"/>
                <w:sz w:val="24"/>
                <w:szCs w:val="24"/>
                <w:lang w:val="en-US" w:eastAsia="zh-CN" w:bidi="ar"/>
              </w:rPr>
              <w:t>本科所学专业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1944" w:type="dxa"/>
            <w:vMerge w:val="restart"/>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风景园林</w:t>
            </w:r>
          </w:p>
        </w:tc>
        <w:tc>
          <w:tcPr>
            <w:tcW w:w="958" w:type="dxa"/>
            <w:vMerge w:val="restart"/>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非全</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日制</w:t>
            </w:r>
          </w:p>
        </w:tc>
        <w:tc>
          <w:tcPr>
            <w:tcW w:w="1707"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6（植物方向）</w:t>
            </w:r>
          </w:p>
        </w:tc>
        <w:tc>
          <w:tcPr>
            <w:tcW w:w="2331" w:type="dxa"/>
            <w:vMerge w:val="restart"/>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总分分数线251分,单科线33分和50分。</w:t>
            </w:r>
          </w:p>
        </w:tc>
        <w:tc>
          <w:tcPr>
            <w:tcW w:w="1196" w:type="dxa"/>
            <w:vMerge w:val="restart"/>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风景园林专业或相近专业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1944" w:type="dxa"/>
            <w:vMerge w:val="continue"/>
            <w:tcBorders>
              <w:top w:val="outset" w:color="auto" w:sz="6" w:space="0"/>
              <w:left w:val="outset" w:color="auto" w:sz="6" w:space="0"/>
              <w:bottom w:val="outset" w:color="auto" w:sz="6" w:space="0"/>
              <w:right w:val="outset" w:color="auto" w:sz="6" w:space="0"/>
            </w:tcBorders>
            <w:shd w:val="clear"/>
            <w:vAlign w:val="center"/>
          </w:tcPr>
          <w:p>
            <w:pPr>
              <w:jc w:val="left"/>
              <w:rPr>
                <w:rFonts w:hint="eastAsia" w:ascii="宋体"/>
                <w:sz w:val="24"/>
                <w:szCs w:val="24"/>
              </w:rPr>
            </w:pPr>
          </w:p>
        </w:tc>
        <w:tc>
          <w:tcPr>
            <w:tcW w:w="958" w:type="dxa"/>
            <w:vMerge w:val="continue"/>
            <w:tcBorders>
              <w:top w:val="outset" w:color="auto" w:sz="6" w:space="0"/>
              <w:left w:val="outset" w:color="auto" w:sz="6" w:space="0"/>
              <w:bottom w:val="outset" w:color="auto" w:sz="6" w:space="0"/>
              <w:right w:val="outset" w:color="auto" w:sz="6" w:space="0"/>
            </w:tcBorders>
            <w:shd w:val="clear"/>
            <w:vAlign w:val="center"/>
          </w:tcPr>
          <w:p>
            <w:pPr>
              <w:jc w:val="left"/>
              <w:rPr>
                <w:rFonts w:hint="eastAsia" w:ascii="宋体"/>
                <w:sz w:val="24"/>
                <w:szCs w:val="24"/>
              </w:rPr>
            </w:pPr>
          </w:p>
        </w:tc>
        <w:tc>
          <w:tcPr>
            <w:tcW w:w="1707" w:type="dxa"/>
            <w:tcBorders>
              <w:top w:val="outset" w:color="auto" w:sz="6" w:space="0"/>
              <w:left w:val="outset" w:color="auto" w:sz="6" w:space="0"/>
              <w:bottom w:val="outset" w:color="auto" w:sz="6" w:space="0"/>
              <w:right w:val="outset" w:color="auto" w:sz="6" w:space="0"/>
            </w:tcBorders>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15（设计方向）</w:t>
            </w:r>
          </w:p>
        </w:tc>
        <w:tc>
          <w:tcPr>
            <w:tcW w:w="2331" w:type="dxa"/>
            <w:vMerge w:val="continue"/>
            <w:tcBorders>
              <w:top w:val="outset" w:color="auto" w:sz="6" w:space="0"/>
              <w:left w:val="outset" w:color="auto" w:sz="6" w:space="0"/>
              <w:bottom w:val="outset" w:color="auto" w:sz="6" w:space="0"/>
              <w:right w:val="outset" w:color="auto" w:sz="6" w:space="0"/>
            </w:tcBorders>
            <w:shd w:val="clear"/>
            <w:vAlign w:val="center"/>
          </w:tcPr>
          <w:p>
            <w:pPr>
              <w:jc w:val="left"/>
              <w:rPr>
                <w:rFonts w:hint="eastAsia" w:ascii="宋体"/>
                <w:sz w:val="24"/>
                <w:szCs w:val="24"/>
              </w:rPr>
            </w:pPr>
          </w:p>
        </w:tc>
        <w:tc>
          <w:tcPr>
            <w:tcW w:w="1196" w:type="dxa"/>
            <w:vMerge w:val="continue"/>
            <w:tcBorders>
              <w:top w:val="outset" w:color="auto" w:sz="6" w:space="0"/>
              <w:left w:val="outset" w:color="auto" w:sz="6" w:space="0"/>
              <w:bottom w:val="outset" w:color="auto" w:sz="6" w:space="0"/>
              <w:right w:val="outset" w:color="auto" w:sz="6" w:space="0"/>
            </w:tcBorders>
            <w:shd w:val="clear"/>
            <w:vAlign w:val="center"/>
          </w:tcPr>
          <w:p>
            <w:pPr>
              <w:jc w:val="left"/>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EFEFE"/>
        <w:spacing w:line="300" w:lineRule="atLeast"/>
        <w:ind w:left="0" w:firstLine="0"/>
        <w:jc w:val="left"/>
        <w:rPr>
          <w:rFonts w:hint="eastAsia" w:ascii="微软雅黑" w:hAnsi="微软雅黑" w:eastAsia="微软雅黑" w:cs="微软雅黑"/>
          <w:i w:val="0"/>
          <w:caps w:val="0"/>
          <w:color w:val="525252"/>
          <w:spacing w:val="0"/>
          <w:sz w:val="16"/>
          <w:szCs w:val="16"/>
        </w:rPr>
      </w:pP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w:t>
      </w:r>
    </w:p>
    <w:p>
      <w:pPr>
        <w:keepNext w:val="0"/>
        <w:keepLines w:val="0"/>
        <w:widowControl/>
        <w:suppressLineNumbers w:val="0"/>
        <w:jc w:val="left"/>
      </w:pP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※本调剂表通过“全国硕士生招生调剂服务系统”提前向社会精准公布。</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二、 </w:t>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调剂系统开放时间</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调剂开通时间：2023年4月6日0:00至2023年4月6日14:00，调剂志愿锁定时间24个小时。     </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三、 </w:t>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调剂基本要求</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1. 符合调入专业的报考条件。</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2. 初试成绩符合第一志愿报考专业所在学科门类的初试成绩基本要求。</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3. 调入专业与第一志愿报考专业相同或相近，应在同一学科门类范围内。</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4. 初试科目与调入专业初试科目相同或相近，其中统考科目原则上应相同， 但统考科目之间调剂时必须综合考虑难度差异、培养需求等因素。</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5. 接收所有调剂考生（既包括接收外单位调剂考生，也包括接收本单位内部调剂考生）必须通过教育部指定的“全国硕士生招生调剂服务系统”进行。未通过该系统调剂录取的考生一律无效。</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6. 不接收同等学力考生调剂。</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四、调剂具体要求</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1. 我院在调剂系统关闭后会及时向考生反馈是否接受其调剂复试申请。</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2. 我院对调剂考生进行复试资格审核，资格审核根据调剂办法中调剂要求进行，资格审查不合格者不予调剂。</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3. 调剂复试内容与一志愿考生复试内容要求一致。</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五、接受调剂原则</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坚持公平、择优调入的原则。对申请同一招生单位同一专业、初试科目完全相同的调剂生，学院将严格按考生初试成绩择优遴选调入。对报考同一专业但不同招生单位考生的调剂标准由各学科自定。</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（一）风景园林硕士（非全日制）</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1.</w:t>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第一志愿报考河南农业大学全日制风景园林专业学位研究生的考生优先</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2.风景园林硕士调剂办法按照《河南农业大学2022年硕士研究生招生调剂工作办法》执行。</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3.本硕士点原则上只接收所学专业为风景园林及相近专业的考生。</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4.调入专业与第一志愿报考专业相同或相近，应在同一学科门类范围内。其中初试全国统一命题科目应与调入专业全国统一命题科目相同。</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5.对申请同一招生单位同一专业、初试科目完全相同的调剂考生，严格按考生初试成绩择优遴选调入。</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6.风景园林硕士复试工作小组综合考虑考生所学专业、报考专业、初试成绩确定最终进入调剂的考生名单。</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Style w:val="5"/>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六、调剂程序</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1. 调剂考生（既包括接收外单位调剂考生，也包括接收本单位内部调剂考生）在我院规定的时间内登陆“全国硕士生招生调剂服务系统”填写调剂志愿和有关信息。</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2. 我院严格按照规定审核，在“全国硕士研究生招生调剂服务系统”向符合条件的考生发送复试通知。收到复试通知的考生须在系统规定时间内在系统中回复确认复试通知。</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3. 考生按我院要求参加复试。</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4. 我院初步确定拟录取名单后，报研究生院备案，由学校在“全国硕士生招生调剂服务系统”向调剂考生发送待录取通知。 收到待录取通知的调剂考生须在系统规定时间内在系统中回复确认待录取通知。</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5. 考生未在规定时间内完成学校规定操作或随意解除志愿的，则视为自动放弃复试或拟录取资格。</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七、复试内容及程序、复试成绩及总成绩计算办法、体检及拟录取等其他未尽事宜，均按照我院官网公告《河南农业大学风景园林与艺术学院 2023年硕士研究生复试录取工作办法》执行。</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联系人及电话：石老师 0371-63555188</w:t>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br w:type="textWrapping"/>
      </w:r>
      <w:r>
        <w:rPr>
          <w:rFonts w:hint="eastAsia" w:ascii="微软雅黑" w:hAnsi="微软雅黑" w:eastAsia="微软雅黑" w:cs="微软雅黑"/>
          <w:i w:val="0"/>
          <w:caps w:val="0"/>
          <w:color w:val="525252"/>
          <w:spacing w:val="0"/>
          <w:kern w:val="0"/>
          <w:sz w:val="16"/>
          <w:szCs w:val="16"/>
          <w:bdr w:val="none" w:color="auto" w:sz="0" w:space="0"/>
          <w:shd w:val="clear" w:fill="FEFEFE"/>
          <w:lang w:val="en-US" w:eastAsia="zh-CN" w:bidi="ar"/>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25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2023-05-21T02:42:37Z</dcterms:created>
  <dc:creator>86188</dc:creator>
  <cp:lastModifiedBy>随风而动</cp:lastModifiedBy>
  <dcterms:modified xsi:type="dcterms:W3CDTF">2023-05-21T02:42:40Z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