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0" w:beforeAutospacing="0" w:after="0" w:afterAutospacing="0" w:line="360" w:lineRule="atLeast"/>
        <w:ind w:left="1000" w:right="1000" w:firstLine="0"/>
        <w:jc w:val="center"/>
        <w:rPr>
          <w:rFonts w:ascii="微软雅黑" w:hAnsi="微软雅黑" w:eastAsia="微软雅黑" w:cs="微软雅黑"/>
          <w:i w:val="0"/>
          <w:caps w:val="0"/>
          <w:color w:val="B50101"/>
          <w:spacing w:val="0"/>
          <w:sz w:val="28"/>
          <w:szCs w:val="28"/>
        </w:rPr>
      </w:pPr>
      <w:r>
        <w:rPr>
          <w:rFonts w:hint="eastAsia" w:ascii="微软雅黑" w:hAnsi="微软雅黑" w:eastAsia="微软雅黑" w:cs="微软雅黑"/>
          <w:i w:val="0"/>
          <w:caps w:val="0"/>
          <w:color w:val="B50101"/>
          <w:spacing w:val="0"/>
          <w:sz w:val="28"/>
          <w:szCs w:val="28"/>
          <w:bdr w:val="none" w:color="auto" w:sz="0" w:space="0"/>
          <w:shd w:val="clear" w:fill="FEFEFE"/>
        </w:rPr>
        <w:t>风景园林与艺术学院2023年硕士调剂计划调整情况说明</w:t>
      </w:r>
    </w:p>
    <w:p>
      <w:pPr>
        <w:keepNext w:val="0"/>
        <w:keepLines w:val="0"/>
        <w:widowControl/>
        <w:suppressLineNumbers w:val="0"/>
        <w:pBdr>
          <w:top w:val="single" w:color="F2F2F2" w:sz="4" w:space="0"/>
          <w:bottom w:val="single" w:color="F2F2F2" w:sz="4" w:space="0"/>
        </w:pBdr>
        <w:shd w:val="clear" w:fill="FEFEFE"/>
        <w:spacing w:before="300" w:beforeAutospacing="0" w:after="0" w:afterAutospacing="0" w:line="390" w:lineRule="atLeast"/>
        <w:ind w:left="0" w:right="0" w:firstLine="0"/>
        <w:jc w:val="center"/>
        <w:rPr>
          <w:rFonts w:hint="eastAsia" w:ascii="微软雅黑" w:hAnsi="微软雅黑" w:eastAsia="微软雅黑" w:cs="微软雅黑"/>
          <w:i w:val="0"/>
          <w:caps w:val="0"/>
          <w:color w:val="ADADAD"/>
          <w:spacing w:val="0"/>
          <w:sz w:val="16"/>
          <w:szCs w:val="16"/>
        </w:rPr>
      </w:pPr>
      <w:r>
        <w:rPr>
          <w:rFonts w:hint="eastAsia" w:ascii="微软雅黑" w:hAnsi="微软雅黑" w:eastAsia="微软雅黑" w:cs="微软雅黑"/>
          <w:i w:val="0"/>
          <w:caps w:val="0"/>
          <w:color w:val="ADADAD"/>
          <w:spacing w:val="0"/>
          <w:kern w:val="0"/>
          <w:sz w:val="16"/>
          <w:szCs w:val="16"/>
          <w:shd w:val="clear" w:fill="FEFEFE"/>
          <w:lang w:val="en-US" w:eastAsia="zh-CN" w:bidi="ar"/>
        </w:rPr>
        <w:t>发布时间：2023-04-06 19:03    浏览次数：746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00" w:lineRule="atLeast"/>
        <w:ind w:left="0" w:firstLine="0"/>
        <w:jc w:val="left"/>
        <w:rPr>
          <w:rFonts w:hint="eastAsia" w:ascii="微软雅黑" w:hAnsi="微软雅黑" w:eastAsia="微软雅黑" w:cs="微软雅黑"/>
          <w:i w:val="0"/>
          <w:caps w:val="0"/>
          <w:color w:val="525252"/>
          <w:spacing w:val="0"/>
          <w:sz w:val="16"/>
          <w:szCs w:val="16"/>
        </w:rPr>
      </w:pP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根据我院调剂报名的具体情况，现对风景园林与艺术学院2023年硕士调剂计划进行调整：</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风景园林（095300）非全日制专业植物方向取消三个招生计划调整至非全日制专业规划与设计方向，非全日制专业植物方向调剂总计划数由6人调整为3人，非全日制专业规划与设计调剂总计划数由15人调整为18人，分数线如下：</w:t>
      </w: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br w:type="textWrapping"/>
      </w:r>
      <w:r>
        <w:rPr>
          <w:rStyle w:val="5"/>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一、 接收调剂专业、缺额及分数线要求</w:t>
      </w:r>
    </w:p>
    <w:tbl>
      <w:tblPr>
        <w:tblW w:w="783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743"/>
        <w:gridCol w:w="928"/>
        <w:gridCol w:w="1764"/>
        <w:gridCol w:w="2253"/>
        <w:gridCol w:w="114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Style w:val="5"/>
                <w:rFonts w:ascii="宋体" w:hAnsi="宋体" w:eastAsia="宋体" w:cs="宋体"/>
                <w:kern w:val="0"/>
                <w:sz w:val="24"/>
                <w:szCs w:val="24"/>
                <w:lang w:val="en-US" w:eastAsia="zh-CN" w:bidi="ar"/>
              </w:rPr>
              <w:t>调剂专业或方向</w:t>
            </w:r>
          </w:p>
        </w:tc>
        <w:tc>
          <w:tcPr>
            <w:tcW w:w="9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Style w:val="5"/>
                <w:rFonts w:ascii="宋体" w:hAnsi="宋体" w:eastAsia="宋体" w:cs="宋体"/>
                <w:kern w:val="0"/>
                <w:sz w:val="24"/>
                <w:szCs w:val="24"/>
                <w:lang w:val="en-US" w:eastAsia="zh-CN" w:bidi="ar"/>
              </w:rPr>
              <w:t>类型</w:t>
            </w:r>
          </w:p>
        </w:tc>
        <w:tc>
          <w:tcPr>
            <w:tcW w:w="173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Style w:val="5"/>
                <w:rFonts w:ascii="宋体" w:hAnsi="宋体" w:eastAsia="宋体" w:cs="宋体"/>
                <w:kern w:val="0"/>
                <w:sz w:val="24"/>
                <w:szCs w:val="24"/>
                <w:lang w:val="en-US" w:eastAsia="zh-CN" w:bidi="ar"/>
              </w:rPr>
              <w:t>调剂名额</w:t>
            </w:r>
          </w:p>
        </w:tc>
        <w:tc>
          <w:tcPr>
            <w:tcW w:w="221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Style w:val="5"/>
                <w:rFonts w:ascii="宋体" w:hAnsi="宋体" w:eastAsia="宋体" w:cs="宋体"/>
                <w:kern w:val="0"/>
                <w:sz w:val="24"/>
                <w:szCs w:val="24"/>
                <w:lang w:val="en-US" w:eastAsia="zh-CN" w:bidi="ar"/>
              </w:rPr>
              <w:t>成绩要求</w:t>
            </w:r>
          </w:p>
        </w:tc>
        <w:tc>
          <w:tcPr>
            <w:tcW w:w="112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Style w:val="5"/>
                <w:rFonts w:ascii="宋体" w:hAnsi="宋体" w:eastAsia="宋体" w:cs="宋体"/>
                <w:kern w:val="0"/>
                <w:sz w:val="24"/>
                <w:szCs w:val="24"/>
                <w:lang w:val="en-US" w:eastAsia="zh-CN" w:bidi="ar"/>
              </w:rPr>
              <w:t>本科所学专业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10" w:type="dxa"/>
            <w:vMerge w:val="restar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风景园林</w:t>
            </w:r>
          </w:p>
        </w:tc>
        <w:tc>
          <w:tcPr>
            <w:tcW w:w="910" w:type="dxa"/>
            <w:vMerge w:val="restar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日制</w:t>
            </w:r>
          </w:p>
        </w:tc>
        <w:tc>
          <w:tcPr>
            <w:tcW w:w="173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3（植物方向）</w:t>
            </w:r>
          </w:p>
        </w:tc>
        <w:tc>
          <w:tcPr>
            <w:tcW w:w="2210" w:type="dxa"/>
            <w:vMerge w:val="restar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总分分数线251分,单科线33分和50分。</w:t>
            </w:r>
          </w:p>
        </w:tc>
        <w:tc>
          <w:tcPr>
            <w:tcW w:w="1120" w:type="dxa"/>
            <w:vMerge w:val="restar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风景园林专业或相近专业</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10" w:type="dxa"/>
            <w:vMerge w:val="continue"/>
            <w:tcBorders>
              <w:top w:val="outset" w:color="auto" w:sz="6" w:space="0"/>
              <w:left w:val="outset" w:color="auto" w:sz="6" w:space="0"/>
              <w:bottom w:val="outset" w:color="auto" w:sz="6" w:space="0"/>
              <w:right w:val="outset" w:color="auto" w:sz="6" w:space="0"/>
            </w:tcBorders>
            <w:shd w:val="clear"/>
            <w:vAlign w:val="center"/>
          </w:tcPr>
          <w:p>
            <w:pPr>
              <w:jc w:val="left"/>
              <w:rPr>
                <w:rFonts w:hint="eastAsia" w:ascii="宋体"/>
                <w:sz w:val="24"/>
                <w:szCs w:val="24"/>
              </w:rPr>
            </w:pPr>
          </w:p>
        </w:tc>
        <w:tc>
          <w:tcPr>
            <w:tcW w:w="910" w:type="dxa"/>
            <w:vMerge w:val="continue"/>
            <w:tcBorders>
              <w:top w:val="outset" w:color="auto" w:sz="6" w:space="0"/>
              <w:left w:val="outset" w:color="auto" w:sz="6" w:space="0"/>
              <w:bottom w:val="outset" w:color="auto" w:sz="6" w:space="0"/>
              <w:right w:val="outset" w:color="auto" w:sz="6" w:space="0"/>
            </w:tcBorders>
            <w:shd w:val="clear"/>
            <w:vAlign w:val="center"/>
          </w:tcPr>
          <w:p>
            <w:pPr>
              <w:jc w:val="left"/>
              <w:rPr>
                <w:rFonts w:hint="eastAsia" w:ascii="宋体"/>
                <w:sz w:val="24"/>
                <w:szCs w:val="24"/>
              </w:rPr>
            </w:pPr>
          </w:p>
        </w:tc>
        <w:tc>
          <w:tcPr>
            <w:tcW w:w="173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18（设计方向）</w:t>
            </w:r>
          </w:p>
        </w:tc>
        <w:tc>
          <w:tcPr>
            <w:tcW w:w="2210" w:type="dxa"/>
            <w:vMerge w:val="continue"/>
            <w:tcBorders>
              <w:top w:val="outset" w:color="auto" w:sz="6" w:space="0"/>
              <w:left w:val="outset" w:color="auto" w:sz="6" w:space="0"/>
              <w:bottom w:val="outset" w:color="auto" w:sz="6" w:space="0"/>
              <w:right w:val="outset" w:color="auto" w:sz="6" w:space="0"/>
            </w:tcBorders>
            <w:shd w:val="clear"/>
            <w:vAlign w:val="center"/>
          </w:tcPr>
          <w:p>
            <w:pPr>
              <w:jc w:val="left"/>
              <w:rPr>
                <w:rFonts w:hint="eastAsia" w:ascii="宋体"/>
                <w:sz w:val="24"/>
                <w:szCs w:val="24"/>
              </w:rPr>
            </w:pPr>
          </w:p>
        </w:tc>
        <w:tc>
          <w:tcPr>
            <w:tcW w:w="1120" w:type="dxa"/>
            <w:vMerge w:val="continue"/>
            <w:tcBorders>
              <w:top w:val="outset" w:color="auto" w:sz="6" w:space="0"/>
              <w:left w:val="outset" w:color="auto" w:sz="6" w:space="0"/>
              <w:bottom w:val="outset" w:color="auto" w:sz="6" w:space="0"/>
              <w:right w:val="outset" w:color="auto" w:sz="6" w:space="0"/>
            </w:tcBorders>
            <w:shd w:val="clear"/>
            <w:vAlign w:val="center"/>
          </w:tcPr>
          <w:p>
            <w:pPr>
              <w:jc w:val="left"/>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00" w:lineRule="atLeast"/>
        <w:ind w:left="0" w:firstLine="0"/>
        <w:jc w:val="left"/>
        <w:rPr>
          <w:rFonts w:hint="eastAsia" w:ascii="微软雅黑" w:hAnsi="微软雅黑" w:eastAsia="微软雅黑" w:cs="微软雅黑"/>
          <w:i w:val="0"/>
          <w:caps w:val="0"/>
          <w:color w:val="525252"/>
          <w:spacing w:val="0"/>
          <w:sz w:val="16"/>
          <w:szCs w:val="16"/>
        </w:rPr>
      </w:pP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w:t>
      </w:r>
    </w:p>
    <w:p>
      <w:pPr>
        <w:keepNext w:val="0"/>
        <w:keepLines w:val="0"/>
        <w:widowControl/>
        <w:suppressLineNumbers w:val="0"/>
        <w:jc w:val="left"/>
      </w:pPr>
      <w:r>
        <w:rPr>
          <w:rFonts w:hint="eastAsia" w:ascii="微软雅黑" w:hAnsi="微软雅黑" w:eastAsia="微软雅黑" w:cs="微软雅黑"/>
          <w:i w:val="0"/>
          <w:caps w:val="0"/>
          <w:color w:val="525252"/>
          <w:spacing w:val="0"/>
          <w:kern w:val="0"/>
          <w:sz w:val="16"/>
          <w:szCs w:val="16"/>
          <w:bdr w:val="none" w:color="auto" w:sz="0" w:space="0"/>
          <w:shd w:val="clear" w:fill="FEFEFE"/>
          <w:lang w:val="en-US" w:eastAsia="zh-CN" w:bidi="ar"/>
        </w:rPr>
        <w:t>       特此说明。</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EA4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2023-05-21T02:42:12Z</dcterms:created>
  <dc:creator>86188</dc:creator>
  <cp:lastModifiedBy>随风而动</cp:lastModifiedBy>
  <dcterms:modified xsi:type="dcterms:W3CDTF">2023-05-21T02:42:13Z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