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ascii="微软雅黑" w:hAnsi="微软雅黑" w:eastAsia="微软雅黑" w:cs="微软雅黑"/>
          <w:i w:val="0"/>
          <w:caps w:val="0"/>
          <w:color w:val="525252"/>
          <w:spacing w:val="0"/>
          <w:sz w:val="30"/>
          <w:szCs w:val="30"/>
        </w:rPr>
      </w:pPr>
      <w:r>
        <w:rPr>
          <w:rFonts w:hint="eastAsia" w:ascii="微软雅黑" w:hAnsi="微软雅黑" w:eastAsia="微软雅黑" w:cs="微软雅黑"/>
          <w:i w:val="0"/>
          <w:caps w:val="0"/>
          <w:color w:val="525252"/>
          <w:spacing w:val="0"/>
          <w:sz w:val="30"/>
          <w:szCs w:val="30"/>
          <w:bdr w:val="none" w:color="auto" w:sz="0" w:space="0"/>
        </w:rPr>
        <w:t>食品科学技术学院2023年硕士研究生调剂工作办法</w:t>
      </w:r>
    </w:p>
    <w:p>
      <w:pPr>
        <w:keepNext w:val="0"/>
        <w:keepLines w:val="0"/>
        <w:widowControl/>
        <w:suppressLineNumbers w:val="0"/>
        <w:shd w:val="clear" w:fill="F2F2F2"/>
        <w:spacing w:before="300" w:beforeAutospacing="0" w:after="0" w:afterAutospacing="0" w:line="450" w:lineRule="atLeast"/>
        <w:ind w:left="0" w:right="0" w:firstLine="0"/>
        <w:jc w:val="center"/>
        <w:rPr>
          <w:rFonts w:hint="eastAsia" w:ascii="微软雅黑" w:hAnsi="微软雅黑" w:eastAsia="微软雅黑" w:cs="微软雅黑"/>
          <w:i w:val="0"/>
          <w:caps w:val="0"/>
          <w:color w:val="616161"/>
          <w:spacing w:val="0"/>
          <w:sz w:val="16"/>
          <w:szCs w:val="16"/>
        </w:rPr>
      </w:pPr>
      <w:r>
        <w:rPr>
          <w:rFonts w:hint="eastAsia" w:ascii="微软雅黑" w:hAnsi="微软雅黑" w:eastAsia="微软雅黑" w:cs="微软雅黑"/>
          <w:i w:val="0"/>
          <w:caps w:val="0"/>
          <w:color w:val="616161"/>
          <w:spacing w:val="0"/>
          <w:kern w:val="0"/>
          <w:sz w:val="16"/>
          <w:szCs w:val="16"/>
          <w:shd w:val="clear" w:fill="F2F2F2"/>
          <w:lang w:val="en-US" w:eastAsia="zh-CN" w:bidi="ar"/>
        </w:rPr>
        <w:t>发布时间：2023-04-04 16:46    浏览次数：500</w:t>
      </w:r>
    </w:p>
    <w:p>
      <w:pPr>
        <w:keepNext w:val="0"/>
        <w:keepLines w:val="0"/>
        <w:widowControl/>
        <w:suppressLineNumbers w:val="0"/>
        <w:pBdr>
          <w:top w:val="none" w:color="auto" w:sz="0" w:space="0"/>
          <w:left w:val="none" w:color="auto" w:sz="0" w:space="0"/>
          <w:bottom w:val="none" w:color="auto" w:sz="0" w:space="0"/>
          <w:right w:val="none" w:color="auto" w:sz="0" w:space="0"/>
        </w:pBdr>
        <w:spacing w:line="320" w:lineRule="atLeast"/>
        <w:ind w:left="0" w:firstLine="0"/>
        <w:jc w:val="both"/>
        <w:rPr>
          <w:rFonts w:hint="eastAsia" w:ascii="微软雅黑" w:hAnsi="微软雅黑" w:eastAsia="微软雅黑" w:cs="微软雅黑"/>
          <w:i w:val="0"/>
          <w:caps w:val="0"/>
          <w:color w:val="5A5A5A"/>
          <w:spacing w:val="0"/>
          <w:sz w:val="16"/>
          <w:szCs w:val="16"/>
        </w:rPr>
      </w:pP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按照教育部、河南省教育考试院和河南农业大学等有关文件要求，为加强和规范研究生招生调剂工作，结合我院2023年硕士研究生招生工作实际情况，特制定本办法。</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w:t>
      </w:r>
      <w:r>
        <w:rPr>
          <w:rStyle w:val="5"/>
          <w:rFonts w:hint="eastAsia" w:ascii="微软雅黑" w:hAnsi="微软雅黑" w:eastAsia="微软雅黑" w:cs="微软雅黑"/>
          <w:i w:val="0"/>
          <w:caps w:val="0"/>
          <w:color w:val="5A5A5A"/>
          <w:spacing w:val="0"/>
          <w:kern w:val="0"/>
          <w:sz w:val="16"/>
          <w:szCs w:val="16"/>
          <w:bdr w:val="none" w:color="auto" w:sz="0" w:space="0"/>
          <w:lang w:val="en-US" w:eastAsia="zh-CN" w:bidi="ar"/>
        </w:rPr>
        <w:t> 一、接收调剂专业、缺额及分数线要求</w:t>
      </w:r>
    </w:p>
    <w:tbl>
      <w:tblPr>
        <w:tblW w:w="6000"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653"/>
        <w:gridCol w:w="653"/>
        <w:gridCol w:w="988"/>
        <w:gridCol w:w="652"/>
        <w:gridCol w:w="652"/>
        <w:gridCol w:w="381"/>
        <w:gridCol w:w="381"/>
        <w:gridCol w:w="381"/>
        <w:gridCol w:w="615"/>
        <w:gridCol w:w="64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91" w:hRule="atLeast"/>
          <w:jc w:val="center"/>
        </w:trPr>
        <w:tc>
          <w:tcPr>
            <w:tcW w:w="648" w:type="dxa"/>
            <w:vMerge w:val="restart"/>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jc w:val="center"/>
              <w:rPr>
                <w:sz w:val="14"/>
                <w:szCs w:val="14"/>
              </w:rPr>
            </w:pPr>
            <w:r>
              <w:rPr>
                <w:rFonts w:ascii="宋体" w:hAnsi="宋体" w:eastAsia="宋体" w:cs="宋体"/>
                <w:kern w:val="0"/>
                <w:sz w:val="14"/>
                <w:szCs w:val="14"/>
                <w:bdr w:val="none" w:color="auto" w:sz="0" w:space="0"/>
                <w:lang w:val="en-US" w:eastAsia="zh-CN" w:bidi="ar"/>
              </w:rPr>
              <w:t>学习形式</w:t>
            </w:r>
          </w:p>
        </w:tc>
        <w:tc>
          <w:tcPr>
            <w:tcW w:w="648" w:type="dxa"/>
            <w:vMerge w:val="restart"/>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jc w:val="center"/>
              <w:rPr>
                <w:sz w:val="14"/>
                <w:szCs w:val="14"/>
              </w:rPr>
            </w:pPr>
            <w:r>
              <w:rPr>
                <w:rFonts w:ascii="宋体" w:hAnsi="宋体" w:eastAsia="宋体" w:cs="宋体"/>
                <w:kern w:val="0"/>
                <w:sz w:val="14"/>
                <w:szCs w:val="14"/>
                <w:bdr w:val="none" w:color="auto" w:sz="0" w:space="0"/>
                <w:lang w:val="en-US" w:eastAsia="zh-CN" w:bidi="ar"/>
              </w:rPr>
              <w:t>专业代码</w:t>
            </w:r>
          </w:p>
        </w:tc>
        <w:tc>
          <w:tcPr>
            <w:tcW w:w="980" w:type="dxa"/>
            <w:vMerge w:val="restart"/>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jc w:val="center"/>
              <w:rPr>
                <w:sz w:val="14"/>
                <w:szCs w:val="14"/>
              </w:rPr>
            </w:pPr>
            <w:r>
              <w:rPr>
                <w:rFonts w:ascii="宋体" w:hAnsi="宋体" w:eastAsia="宋体" w:cs="宋体"/>
                <w:kern w:val="0"/>
                <w:sz w:val="14"/>
                <w:szCs w:val="14"/>
                <w:bdr w:val="none" w:color="auto" w:sz="0" w:space="0"/>
                <w:lang w:val="en-US" w:eastAsia="zh-CN" w:bidi="ar"/>
              </w:rPr>
              <w:t>专业名称</w:t>
            </w:r>
          </w:p>
        </w:tc>
        <w:tc>
          <w:tcPr>
            <w:tcW w:w="647" w:type="dxa"/>
            <w:vMerge w:val="restart"/>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jc w:val="center"/>
              <w:rPr>
                <w:sz w:val="14"/>
                <w:szCs w:val="14"/>
              </w:rPr>
            </w:pPr>
            <w:r>
              <w:rPr>
                <w:rFonts w:ascii="宋体" w:hAnsi="宋体" w:eastAsia="宋体" w:cs="宋体"/>
                <w:kern w:val="0"/>
                <w:sz w:val="14"/>
                <w:szCs w:val="14"/>
                <w:bdr w:val="none" w:color="auto" w:sz="0" w:space="0"/>
                <w:lang w:val="en-US" w:eastAsia="zh-CN" w:bidi="ar"/>
              </w:rPr>
              <w:t>研究方向</w:t>
            </w:r>
          </w:p>
        </w:tc>
        <w:tc>
          <w:tcPr>
            <w:tcW w:w="647" w:type="dxa"/>
            <w:vMerge w:val="restart"/>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jc w:val="center"/>
              <w:rPr>
                <w:sz w:val="14"/>
                <w:szCs w:val="14"/>
              </w:rPr>
            </w:pPr>
            <w:r>
              <w:rPr>
                <w:rFonts w:ascii="宋体" w:hAnsi="宋体" w:eastAsia="宋体" w:cs="宋体"/>
                <w:kern w:val="0"/>
                <w:sz w:val="14"/>
                <w:szCs w:val="14"/>
                <w:bdr w:val="none" w:color="auto" w:sz="0" w:space="0"/>
                <w:lang w:val="en-US" w:eastAsia="zh-CN" w:bidi="ar"/>
              </w:rPr>
              <w:t>缺额人数</w:t>
            </w:r>
          </w:p>
        </w:tc>
        <w:tc>
          <w:tcPr>
            <w:tcW w:w="2383" w:type="dxa"/>
            <w:gridSpan w:val="5"/>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jc w:val="center"/>
              <w:rPr>
                <w:sz w:val="14"/>
                <w:szCs w:val="14"/>
              </w:rPr>
            </w:pPr>
            <w:r>
              <w:rPr>
                <w:rFonts w:ascii="宋体" w:hAnsi="宋体" w:eastAsia="宋体" w:cs="宋体"/>
                <w:kern w:val="0"/>
                <w:sz w:val="14"/>
                <w:szCs w:val="14"/>
                <w:bdr w:val="none" w:color="auto" w:sz="0" w:space="0"/>
                <w:lang w:val="en-US" w:eastAsia="zh-CN" w:bidi="ar"/>
              </w:rPr>
              <w:t>接收调剂分数线</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91" w:hRule="atLeast"/>
          <w:jc w:val="center"/>
        </w:trPr>
        <w:tc>
          <w:tcPr>
            <w:tcW w:w="648" w:type="dxa"/>
            <w:vMerge w:val="continue"/>
            <w:tcBorders>
              <w:top w:val="outset" w:color="auto" w:sz="6" w:space="0"/>
              <w:left w:val="outset" w:color="auto" w:sz="6" w:space="0"/>
              <w:bottom w:val="outset" w:color="auto" w:sz="6" w:space="0"/>
              <w:right w:val="outset" w:color="auto" w:sz="6" w:space="0"/>
            </w:tcBorders>
            <w:shd w:val="clear"/>
            <w:noWrap/>
            <w:vAlign w:val="center"/>
          </w:tcPr>
          <w:p>
            <w:pPr>
              <w:jc w:val="center"/>
              <w:rPr>
                <w:rFonts w:hint="eastAsia" w:ascii="宋体"/>
                <w:sz w:val="14"/>
                <w:szCs w:val="14"/>
              </w:rPr>
            </w:pPr>
          </w:p>
        </w:tc>
        <w:tc>
          <w:tcPr>
            <w:tcW w:w="648" w:type="dxa"/>
            <w:vMerge w:val="continue"/>
            <w:tcBorders>
              <w:top w:val="outset" w:color="auto" w:sz="6" w:space="0"/>
              <w:left w:val="outset" w:color="auto" w:sz="6" w:space="0"/>
              <w:bottom w:val="outset" w:color="auto" w:sz="6" w:space="0"/>
              <w:right w:val="outset" w:color="auto" w:sz="6" w:space="0"/>
            </w:tcBorders>
            <w:shd w:val="clear"/>
            <w:noWrap/>
            <w:vAlign w:val="center"/>
          </w:tcPr>
          <w:p>
            <w:pPr>
              <w:jc w:val="center"/>
              <w:rPr>
                <w:rFonts w:hint="eastAsia" w:ascii="宋体"/>
                <w:sz w:val="14"/>
                <w:szCs w:val="14"/>
              </w:rPr>
            </w:pPr>
          </w:p>
        </w:tc>
        <w:tc>
          <w:tcPr>
            <w:tcW w:w="980" w:type="dxa"/>
            <w:vMerge w:val="continue"/>
            <w:tcBorders>
              <w:top w:val="outset" w:color="auto" w:sz="6" w:space="0"/>
              <w:left w:val="outset" w:color="auto" w:sz="6" w:space="0"/>
              <w:bottom w:val="outset" w:color="auto" w:sz="6" w:space="0"/>
              <w:right w:val="outset" w:color="auto" w:sz="6" w:space="0"/>
            </w:tcBorders>
            <w:shd w:val="clear"/>
            <w:noWrap/>
            <w:vAlign w:val="center"/>
          </w:tcPr>
          <w:p>
            <w:pPr>
              <w:jc w:val="center"/>
              <w:rPr>
                <w:rFonts w:hint="eastAsia" w:ascii="宋体"/>
                <w:sz w:val="14"/>
                <w:szCs w:val="14"/>
              </w:rPr>
            </w:pPr>
          </w:p>
        </w:tc>
        <w:tc>
          <w:tcPr>
            <w:tcW w:w="647" w:type="dxa"/>
            <w:vMerge w:val="continue"/>
            <w:tcBorders>
              <w:top w:val="outset" w:color="auto" w:sz="6" w:space="0"/>
              <w:left w:val="outset" w:color="auto" w:sz="6" w:space="0"/>
              <w:bottom w:val="outset" w:color="auto" w:sz="6" w:space="0"/>
              <w:right w:val="outset" w:color="auto" w:sz="6" w:space="0"/>
            </w:tcBorders>
            <w:shd w:val="clear"/>
            <w:noWrap/>
            <w:vAlign w:val="center"/>
          </w:tcPr>
          <w:p>
            <w:pPr>
              <w:jc w:val="center"/>
              <w:rPr>
                <w:rFonts w:hint="eastAsia" w:ascii="宋体"/>
                <w:sz w:val="14"/>
                <w:szCs w:val="14"/>
              </w:rPr>
            </w:pPr>
          </w:p>
        </w:tc>
        <w:tc>
          <w:tcPr>
            <w:tcW w:w="647" w:type="dxa"/>
            <w:vMerge w:val="continue"/>
            <w:tcBorders>
              <w:top w:val="outset" w:color="auto" w:sz="6" w:space="0"/>
              <w:left w:val="outset" w:color="auto" w:sz="6" w:space="0"/>
              <w:bottom w:val="outset" w:color="auto" w:sz="6" w:space="0"/>
              <w:right w:val="outset" w:color="auto" w:sz="6" w:space="0"/>
            </w:tcBorders>
            <w:shd w:val="clear"/>
            <w:noWrap/>
            <w:vAlign w:val="center"/>
          </w:tcPr>
          <w:p>
            <w:pPr>
              <w:jc w:val="center"/>
              <w:rPr>
                <w:rFonts w:hint="eastAsia" w:ascii="宋体"/>
                <w:sz w:val="14"/>
                <w:szCs w:val="14"/>
              </w:rPr>
            </w:pPr>
          </w:p>
        </w:tc>
        <w:tc>
          <w:tcPr>
            <w:tcW w:w="378"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jc w:val="center"/>
              <w:rPr>
                <w:sz w:val="14"/>
                <w:szCs w:val="14"/>
              </w:rPr>
            </w:pPr>
            <w:r>
              <w:rPr>
                <w:rFonts w:ascii="宋体" w:hAnsi="宋体" w:eastAsia="宋体" w:cs="宋体"/>
                <w:kern w:val="0"/>
                <w:sz w:val="14"/>
                <w:szCs w:val="14"/>
                <w:bdr w:val="none" w:color="auto" w:sz="0" w:space="0"/>
                <w:lang w:val="en-US" w:eastAsia="zh-CN" w:bidi="ar"/>
              </w:rPr>
              <w:t>总分</w:t>
            </w:r>
          </w:p>
        </w:tc>
        <w:tc>
          <w:tcPr>
            <w:tcW w:w="378"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jc w:val="center"/>
              <w:rPr>
                <w:sz w:val="14"/>
                <w:szCs w:val="14"/>
              </w:rPr>
            </w:pPr>
            <w:r>
              <w:rPr>
                <w:rFonts w:ascii="宋体" w:hAnsi="宋体" w:eastAsia="宋体" w:cs="宋体"/>
                <w:kern w:val="0"/>
                <w:sz w:val="14"/>
                <w:szCs w:val="14"/>
                <w:bdr w:val="none" w:color="auto" w:sz="0" w:space="0"/>
                <w:lang w:val="en-US" w:eastAsia="zh-CN" w:bidi="ar"/>
              </w:rPr>
              <w:t>政治</w:t>
            </w:r>
          </w:p>
        </w:tc>
        <w:tc>
          <w:tcPr>
            <w:tcW w:w="378"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jc w:val="center"/>
              <w:rPr>
                <w:sz w:val="14"/>
                <w:szCs w:val="14"/>
              </w:rPr>
            </w:pPr>
            <w:r>
              <w:rPr>
                <w:rFonts w:ascii="宋体" w:hAnsi="宋体" w:eastAsia="宋体" w:cs="宋体"/>
                <w:kern w:val="0"/>
                <w:sz w:val="14"/>
                <w:szCs w:val="14"/>
                <w:bdr w:val="none" w:color="auto" w:sz="0" w:space="0"/>
                <w:lang w:val="en-US" w:eastAsia="zh-CN" w:bidi="ar"/>
              </w:rPr>
              <w:t>外语</w:t>
            </w:r>
          </w:p>
        </w:tc>
        <w:tc>
          <w:tcPr>
            <w:tcW w:w="610"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jc w:val="center"/>
              <w:rPr>
                <w:sz w:val="14"/>
                <w:szCs w:val="14"/>
              </w:rPr>
            </w:pPr>
            <w:r>
              <w:rPr>
                <w:rFonts w:ascii="宋体" w:hAnsi="宋体" w:eastAsia="宋体" w:cs="宋体"/>
                <w:kern w:val="0"/>
                <w:sz w:val="14"/>
                <w:szCs w:val="14"/>
                <w:bdr w:val="none" w:color="auto" w:sz="0" w:space="0"/>
                <w:lang w:val="en-US" w:eastAsia="zh-CN" w:bidi="ar"/>
              </w:rPr>
              <w:t>业务课1</w:t>
            </w:r>
          </w:p>
        </w:tc>
        <w:tc>
          <w:tcPr>
            <w:tcW w:w="611"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jc w:val="center"/>
              <w:rPr>
                <w:sz w:val="14"/>
                <w:szCs w:val="14"/>
              </w:rPr>
            </w:pPr>
            <w:r>
              <w:rPr>
                <w:rFonts w:ascii="宋体" w:hAnsi="宋体" w:eastAsia="宋体" w:cs="宋体"/>
                <w:kern w:val="0"/>
                <w:sz w:val="14"/>
                <w:szCs w:val="14"/>
                <w:bdr w:val="none" w:color="auto" w:sz="0" w:space="0"/>
                <w:lang w:val="en-US" w:eastAsia="zh-CN" w:bidi="ar"/>
              </w:rPr>
              <w:t>业务课2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80" w:hRule="atLeast"/>
          <w:jc w:val="center"/>
        </w:trPr>
        <w:tc>
          <w:tcPr>
            <w:tcW w:w="648"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jc w:val="center"/>
              <w:rPr>
                <w:sz w:val="14"/>
                <w:szCs w:val="14"/>
              </w:rPr>
            </w:pPr>
            <w:r>
              <w:rPr>
                <w:rFonts w:ascii="宋体" w:hAnsi="宋体" w:eastAsia="宋体" w:cs="宋体"/>
                <w:kern w:val="0"/>
                <w:sz w:val="14"/>
                <w:szCs w:val="14"/>
                <w:bdr w:val="none" w:color="auto" w:sz="0" w:space="0"/>
                <w:lang w:val="en-US" w:eastAsia="zh-CN" w:bidi="ar"/>
              </w:rPr>
              <w:t>全日制</w:t>
            </w:r>
          </w:p>
        </w:tc>
        <w:tc>
          <w:tcPr>
            <w:tcW w:w="648"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jc w:val="center"/>
              <w:rPr>
                <w:sz w:val="14"/>
                <w:szCs w:val="14"/>
              </w:rPr>
            </w:pPr>
            <w:r>
              <w:rPr>
                <w:rFonts w:ascii="宋体" w:hAnsi="宋体" w:eastAsia="宋体" w:cs="宋体"/>
                <w:kern w:val="0"/>
                <w:sz w:val="14"/>
                <w:szCs w:val="14"/>
                <w:bdr w:val="none" w:color="auto" w:sz="0" w:space="0"/>
                <w:lang w:val="en-US" w:eastAsia="zh-CN" w:bidi="ar"/>
              </w:rPr>
              <w:t>097200</w:t>
            </w:r>
          </w:p>
        </w:tc>
        <w:tc>
          <w:tcPr>
            <w:tcW w:w="980"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jc w:val="center"/>
              <w:rPr>
                <w:sz w:val="14"/>
                <w:szCs w:val="14"/>
              </w:rPr>
            </w:pPr>
            <w:r>
              <w:rPr>
                <w:rFonts w:ascii="宋体" w:hAnsi="宋体" w:eastAsia="宋体" w:cs="宋体"/>
                <w:kern w:val="0"/>
                <w:sz w:val="14"/>
                <w:szCs w:val="14"/>
                <w:bdr w:val="none" w:color="auto" w:sz="0" w:space="0"/>
                <w:lang w:val="en-US" w:eastAsia="zh-CN" w:bidi="ar"/>
              </w:rPr>
              <w:t>食品科学与工程</w:t>
            </w:r>
          </w:p>
        </w:tc>
        <w:tc>
          <w:tcPr>
            <w:tcW w:w="647"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bdr w:val="none" w:color="auto" w:sz="0" w:space="0"/>
                <w:lang w:val="en-US" w:eastAsia="zh-CN" w:bidi="ar"/>
              </w:rPr>
              <w:t>不区分研究方向</w:t>
            </w:r>
          </w:p>
        </w:tc>
        <w:tc>
          <w:tcPr>
            <w:tcW w:w="647"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jc w:val="center"/>
              <w:rPr>
                <w:sz w:val="14"/>
                <w:szCs w:val="14"/>
              </w:rPr>
            </w:pPr>
            <w:r>
              <w:rPr>
                <w:rFonts w:ascii="宋体" w:hAnsi="宋体" w:eastAsia="宋体" w:cs="宋体"/>
                <w:kern w:val="0"/>
                <w:sz w:val="14"/>
                <w:szCs w:val="14"/>
                <w:bdr w:val="none" w:color="auto" w:sz="0" w:space="0"/>
                <w:lang w:val="en-US" w:eastAsia="zh-CN" w:bidi="ar"/>
              </w:rPr>
              <w:t>2</w:t>
            </w:r>
          </w:p>
        </w:tc>
        <w:tc>
          <w:tcPr>
            <w:tcW w:w="378"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jc w:val="center"/>
              <w:rPr>
                <w:sz w:val="14"/>
                <w:szCs w:val="14"/>
              </w:rPr>
            </w:pPr>
            <w:r>
              <w:rPr>
                <w:rFonts w:ascii="宋体" w:hAnsi="宋体" w:eastAsia="宋体" w:cs="宋体"/>
                <w:kern w:val="0"/>
                <w:sz w:val="14"/>
                <w:szCs w:val="14"/>
                <w:bdr w:val="none" w:color="auto" w:sz="0" w:space="0"/>
                <w:lang w:val="en-US" w:eastAsia="zh-CN" w:bidi="ar"/>
              </w:rPr>
              <w:t>251</w:t>
            </w:r>
          </w:p>
        </w:tc>
        <w:tc>
          <w:tcPr>
            <w:tcW w:w="378"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jc w:val="center"/>
              <w:rPr>
                <w:sz w:val="14"/>
                <w:szCs w:val="14"/>
              </w:rPr>
            </w:pPr>
            <w:r>
              <w:rPr>
                <w:rFonts w:ascii="宋体" w:hAnsi="宋体" w:eastAsia="宋体" w:cs="宋体"/>
                <w:kern w:val="0"/>
                <w:sz w:val="14"/>
                <w:szCs w:val="14"/>
                <w:bdr w:val="none" w:color="auto" w:sz="0" w:space="0"/>
                <w:lang w:val="en-US" w:eastAsia="zh-CN" w:bidi="ar"/>
              </w:rPr>
              <w:t>33</w:t>
            </w:r>
          </w:p>
        </w:tc>
        <w:tc>
          <w:tcPr>
            <w:tcW w:w="378"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jc w:val="center"/>
              <w:rPr>
                <w:sz w:val="14"/>
                <w:szCs w:val="14"/>
              </w:rPr>
            </w:pPr>
            <w:r>
              <w:rPr>
                <w:rFonts w:ascii="宋体" w:hAnsi="宋体" w:eastAsia="宋体" w:cs="宋体"/>
                <w:kern w:val="0"/>
                <w:sz w:val="14"/>
                <w:szCs w:val="14"/>
                <w:bdr w:val="none" w:color="auto" w:sz="0" w:space="0"/>
                <w:lang w:val="en-US" w:eastAsia="zh-CN" w:bidi="ar"/>
              </w:rPr>
              <w:t>33</w:t>
            </w:r>
          </w:p>
        </w:tc>
        <w:tc>
          <w:tcPr>
            <w:tcW w:w="610"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jc w:val="center"/>
              <w:rPr>
                <w:sz w:val="14"/>
                <w:szCs w:val="14"/>
              </w:rPr>
            </w:pPr>
            <w:r>
              <w:rPr>
                <w:rFonts w:ascii="宋体" w:hAnsi="宋体" w:eastAsia="宋体" w:cs="宋体"/>
                <w:kern w:val="0"/>
                <w:sz w:val="14"/>
                <w:szCs w:val="14"/>
                <w:bdr w:val="none" w:color="auto" w:sz="0" w:space="0"/>
                <w:lang w:val="en-US" w:eastAsia="zh-CN" w:bidi="ar"/>
              </w:rPr>
              <w:t>50</w:t>
            </w:r>
          </w:p>
        </w:tc>
        <w:tc>
          <w:tcPr>
            <w:tcW w:w="611" w:type="dxa"/>
            <w:tcBorders>
              <w:top w:val="outset" w:color="auto" w:sz="6" w:space="0"/>
              <w:left w:val="outset" w:color="auto" w:sz="6" w:space="0"/>
              <w:bottom w:val="outset" w:color="auto" w:sz="6" w:space="0"/>
              <w:right w:val="outset" w:color="auto" w:sz="6" w:space="0"/>
            </w:tcBorders>
            <w:shd w:val="clear"/>
            <w:noWrap/>
            <w:vAlign w:val="center"/>
          </w:tcPr>
          <w:p>
            <w:pPr>
              <w:keepNext w:val="0"/>
              <w:keepLines w:val="0"/>
              <w:widowControl/>
              <w:suppressLineNumbers w:val="0"/>
              <w:jc w:val="center"/>
              <w:rPr>
                <w:sz w:val="14"/>
                <w:szCs w:val="14"/>
              </w:rPr>
            </w:pPr>
            <w:r>
              <w:rPr>
                <w:rFonts w:ascii="宋体" w:hAnsi="宋体" w:eastAsia="宋体" w:cs="宋体"/>
                <w:kern w:val="0"/>
                <w:sz w:val="14"/>
                <w:szCs w:val="14"/>
                <w:bdr w:val="none" w:color="auto" w:sz="0" w:space="0"/>
                <w:lang w:val="en-US" w:eastAsia="zh-CN" w:bidi="ar"/>
              </w:rPr>
              <w:t>50</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line="320" w:lineRule="atLeast"/>
        <w:ind w:left="0" w:firstLine="0"/>
        <w:jc w:val="both"/>
        <w:rPr>
          <w:rFonts w:hint="eastAsia" w:ascii="微软雅黑" w:hAnsi="微软雅黑" w:eastAsia="微软雅黑" w:cs="微软雅黑"/>
          <w:i w:val="0"/>
          <w:caps w:val="0"/>
          <w:color w:val="5A5A5A"/>
          <w:spacing w:val="0"/>
          <w:sz w:val="16"/>
          <w:szCs w:val="16"/>
        </w:rPr>
      </w:pP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line="320" w:lineRule="atLeast"/>
        <w:ind w:left="0" w:firstLine="0"/>
        <w:jc w:val="both"/>
        <w:rPr>
          <w:rFonts w:hint="eastAsia" w:ascii="微软雅黑" w:hAnsi="微软雅黑" w:eastAsia="微软雅黑" w:cs="微软雅黑"/>
          <w:i w:val="0"/>
          <w:caps w:val="0"/>
          <w:color w:val="5A5A5A"/>
          <w:spacing w:val="0"/>
          <w:sz w:val="16"/>
          <w:szCs w:val="16"/>
        </w:rPr>
      </w:pP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w:t>
      </w:r>
      <w:r>
        <w:rPr>
          <w:rStyle w:val="5"/>
          <w:rFonts w:hint="eastAsia" w:ascii="微软雅黑" w:hAnsi="微软雅黑" w:eastAsia="微软雅黑" w:cs="微软雅黑"/>
          <w:i w:val="0"/>
          <w:caps w:val="0"/>
          <w:color w:val="5A5A5A"/>
          <w:spacing w:val="0"/>
          <w:kern w:val="0"/>
          <w:sz w:val="16"/>
          <w:szCs w:val="16"/>
          <w:bdr w:val="none" w:color="auto" w:sz="0" w:space="0"/>
          <w:lang w:val="en-US" w:eastAsia="zh-CN" w:bidi="ar"/>
        </w:rPr>
        <w:t> 二、调剂系统开放时间</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2023年4月6日 0:00-14:00</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w:t>
      </w:r>
      <w:r>
        <w:rPr>
          <w:rStyle w:val="5"/>
          <w:rFonts w:hint="eastAsia" w:ascii="微软雅黑" w:hAnsi="微软雅黑" w:eastAsia="微软雅黑" w:cs="微软雅黑"/>
          <w:i w:val="0"/>
          <w:caps w:val="0"/>
          <w:color w:val="5A5A5A"/>
          <w:spacing w:val="0"/>
          <w:kern w:val="0"/>
          <w:sz w:val="16"/>
          <w:szCs w:val="16"/>
          <w:bdr w:val="none" w:color="auto" w:sz="0" w:space="0"/>
          <w:lang w:val="en-US" w:eastAsia="zh-CN" w:bidi="ar"/>
        </w:rPr>
        <w:t>三、调剂基本条件</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1. 符合调入专业的报考条件。</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2. 初试成绩符合第一志愿报考专业所在学科门类的初试成绩基本要求。</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3. 调入专业与第一志愿报考专业相同或相近，应在同一学科门类范围内。</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4. 初试科目与调入专业初试科目相同或相近，其中初试全国统一命题科目应与调入专业全国统一命题科目相同。调剂时，统考科目中英语一、英语二可视为相同考试科目，数学一、数学二、数学三、数学（农）、经济类综合能力可视为相同考试科目，但统考科目之间调剂时必须综合考虑难度差异、培养需求等因素。</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5. 报考“退役大学生士兵”专项计划的考生，申请调剂到普通计划，其初试成绩须达到相应专业进入复试的要求。符合条件的，可按规定享受退役大学生士兵初试加分政策。</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w:t>
      </w:r>
      <w:r>
        <w:rPr>
          <w:rStyle w:val="5"/>
          <w:rFonts w:hint="eastAsia" w:ascii="微软雅黑" w:hAnsi="微软雅黑" w:eastAsia="微软雅黑" w:cs="微软雅黑"/>
          <w:i w:val="0"/>
          <w:caps w:val="0"/>
          <w:color w:val="5A5A5A"/>
          <w:spacing w:val="0"/>
          <w:kern w:val="0"/>
          <w:sz w:val="16"/>
          <w:szCs w:val="16"/>
          <w:bdr w:val="none" w:color="auto" w:sz="0" w:space="0"/>
          <w:lang w:val="en-US" w:eastAsia="zh-CN" w:bidi="ar"/>
        </w:rPr>
        <w:t> 四、调剂具体要求</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1. 我院在调剂系统关闭后会及时向考生反馈是否接受其调剂复试申请。</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2. 我院对调剂考生进行复试资格审核，资格审核根据调剂办法中调剂要求进行，资格审查不合格者不予调剂。</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3. 调剂复试要求与一志愿考生复试要求一致。</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w:t>
      </w:r>
      <w:r>
        <w:rPr>
          <w:rStyle w:val="5"/>
          <w:rFonts w:hint="eastAsia" w:ascii="微软雅黑" w:hAnsi="微软雅黑" w:eastAsia="微软雅黑" w:cs="微软雅黑"/>
          <w:i w:val="0"/>
          <w:caps w:val="0"/>
          <w:color w:val="5A5A5A"/>
          <w:spacing w:val="0"/>
          <w:kern w:val="0"/>
          <w:sz w:val="16"/>
          <w:szCs w:val="16"/>
          <w:bdr w:val="none" w:color="auto" w:sz="0" w:space="0"/>
          <w:lang w:val="en-US" w:eastAsia="zh-CN" w:bidi="ar"/>
        </w:rPr>
        <w:t>五、调剂程序</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1. 调剂考生在我院规定的时间内登陆“全国硕士生招生调剂服务系统”填写调剂志愿和有关信息。</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2. 我院严格按照规定审核，在“全国硕士研究生招生调剂服务系统”向符合条件的考生发送复试通知。收到复试通知的考生须在系统规定时间内在系统中回复确认复试通知。</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3. 考生按学院要求参加复试。</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4. 我院初步确定拟录取名单后，报研究生院备案，由学校在“全国硕士生招生调剂服务系统”向调剂考生发送待录取通知。收到待录取通知的调剂考生须在系统规定时间内在系统中回复确认待录取通知。</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5. 考生未在规定时间内完成学校规定操作或随意解除志愿的，则视为自动放弃复试或拟录取资格。</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w:t>
      </w:r>
      <w:r>
        <w:rPr>
          <w:rStyle w:val="5"/>
          <w:rFonts w:hint="eastAsia" w:ascii="微软雅黑" w:hAnsi="微软雅黑" w:eastAsia="微软雅黑" w:cs="微软雅黑"/>
          <w:i w:val="0"/>
          <w:caps w:val="0"/>
          <w:color w:val="5A5A5A"/>
          <w:spacing w:val="0"/>
          <w:kern w:val="0"/>
          <w:sz w:val="16"/>
          <w:szCs w:val="16"/>
          <w:bdr w:val="none" w:color="auto" w:sz="0" w:space="0"/>
          <w:lang w:val="en-US" w:eastAsia="zh-CN" w:bidi="ar"/>
        </w:rPr>
        <w:t>六、调剂复试办法</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（一）复试形式</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我院硕士研究生复试采取现场方式，考生配合校园公共区域日常卫生管理制度和消毒制度。</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（二）复试时间</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调剂考生复试时间：2023年4月10日。</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凡考生不按时参加复试的，视为自动放弃复试资格。</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（三）复试资格审查</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考生参加复试前须签订《考生诚信复试承诺书》（附件），严格遵守考试纪律和保密要求。考生须提交下列材料原件及复印件：</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1. 准考证（研招网下载）；</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2. 身份证（正反面）；</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3. 大学期间成绩单（加盖有学校教务部门公章）；</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4. 往届考生的学历学位证书，应届考试的学生证；</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5. 未通过网上学历（学籍）校验的考生需提供相关学历（学籍）认证报告；</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6. 已发表论文或科研成果，以及其他能证明自己能力的相关材料；</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7.《考生诚信复试承诺书》。</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复试资格审核不符合规定者，不准予复试。</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时间：2023年4月10日 上午8:00-9:00</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地点：文化路校区17号楼405</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（四）复试内容</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1. 笔试</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笔试科目：《食品工艺学》。考试时间为3小时。考生凭身份证和资格审查合格证参加。</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时间：2023年4月10日 上午9:30-12:30</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地点：文化路校区17号楼405</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同等学力考生，须加试招生简章中列举的考试科目，成绩不计入复试成绩，但成绩低于60分者，不予录取。</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2. 面试</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面试通过考生自我介绍、抽题作答和复试小组现场提问方式进行，每位考生面试时间一般不少于20分钟。面试内容主要包括外语能力、综合素质和能力、专业素质和能力。同时，对考生进行思想政治与综合文化素质考核、心理素质考察，思想政治与综合文化素质考核不合格者，不予录取。</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外语能力测试重点考查考生对外语基本知识的掌握、表达能力。</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综合素质和能力考核重点包括：思想政治素质和道德品质；本学科专业以外的学习、科研、社会实践（学生工作、社团活动、志愿服务等）或实际工作等方面的情况；事业心、责任感、纪律性（遵纪守法）、协作性和心理健康情况；人文素养；举止、表达和礼仪等。</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专业素质和能力考核重点包括：大学阶段学习情况及成绩；全面考核考生对本学科专业理论知识和应用技能掌握程度，利用所学理论发现、分析和解决问题的能力；对本学科发展动态的了解以及在本专业领域发展的潜力；创新精神和创新能力等。</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时间：2023年4月10日 下午2:30-5:30</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地点：文化路校区17号楼405</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w:t>
      </w:r>
      <w:r>
        <w:rPr>
          <w:rStyle w:val="5"/>
          <w:rFonts w:hint="eastAsia" w:ascii="微软雅黑" w:hAnsi="微软雅黑" w:eastAsia="微软雅黑" w:cs="微软雅黑"/>
          <w:i w:val="0"/>
          <w:caps w:val="0"/>
          <w:color w:val="5A5A5A"/>
          <w:spacing w:val="0"/>
          <w:kern w:val="0"/>
          <w:sz w:val="16"/>
          <w:szCs w:val="16"/>
          <w:bdr w:val="none" w:color="auto" w:sz="0" w:space="0"/>
          <w:lang w:val="en-US" w:eastAsia="zh-CN" w:bidi="ar"/>
        </w:rPr>
        <w:t> 七、复试内容及程序、复试成绩及总成绩计算办法、体检及拟录取等其他未尽事宜，均按照我院官网公告《食品科学技术学院 2023年硕士研究生复试录取工作办法》执行</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欢迎符合调剂条件考生调剂到我院。</w:t>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br w:type="textWrapping"/>
      </w:r>
      <w:r>
        <w:rPr>
          <w:rFonts w:hint="eastAsia" w:ascii="微软雅黑" w:hAnsi="微软雅黑" w:eastAsia="微软雅黑" w:cs="微软雅黑"/>
          <w:i w:val="0"/>
          <w:caps w:val="0"/>
          <w:color w:val="5A5A5A"/>
          <w:spacing w:val="0"/>
          <w:kern w:val="0"/>
          <w:sz w:val="16"/>
          <w:szCs w:val="16"/>
          <w:bdr w:val="none" w:color="auto" w:sz="0" w:space="0"/>
          <w:lang w:val="en-US" w:eastAsia="zh-CN" w:bidi="ar"/>
        </w:rPr>
        <w:t>       调剂咨询电话0371-63558150</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B84A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2023-05-21T02:24:23Z</dcterms:created>
  <dc:creator>86188</dc:creator>
  <cp:lastModifiedBy>随风而动</cp:lastModifiedBy>
  <dcterms:modified xsi:type="dcterms:W3CDTF">2023-05-21T02:24:24Z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