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12000" w:type="dxa"/>
        <w:jc w:val="center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000"/>
      </w:tblGrid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shd w:val="clear" w:color="auto" w:fill="E3EDF9"/>
            <w:vAlign w:val="center"/>
          </w:tcPr>
          <w:tbl>
            <w:tblPr>
              <w:tblW w:w="0" w:type="auto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976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ascii="微软雅黑" w:hAnsi="微软雅黑" w:eastAsia="微软雅黑" w:cs="微软雅黑"/>
                      <w:sz w:val="16"/>
                      <w:szCs w:val="16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6"/>
                      <w:szCs w:val="16"/>
                      <w:lang w:val="en-US" w:eastAsia="zh-CN" w:bidi="ar"/>
                    </w:rPr>
                    <w:t>河南师范大学生命科学学院2023年硕士研究生调剂公告</w:t>
                  </w:r>
                </w:p>
              </w:tc>
            </w:tr>
          </w:tbl>
          <w:p>
            <w:pPr>
              <w:jc w:val="center"/>
              <w:rPr>
                <w:rFonts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jc w:val="center"/>
        </w:trPr>
        <w:tc>
          <w:tcPr>
            <w:tcW w:w="0" w:type="auto"/>
            <w:shd w:val="clear" w:color="auto" w:fill="E3EDF9"/>
            <w:vAlign w:val="center"/>
          </w:tcPr>
          <w:tbl>
            <w:tblPr>
              <w:tblW w:w="0" w:type="auto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3168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keepNext w:val="0"/>
                    <w:keepLines w:val="0"/>
                    <w:widowControl/>
                    <w:suppressLineNumbers w:val="0"/>
                    <w:jc w:val="left"/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kern w:val="0"/>
                      <w:sz w:val="14"/>
                      <w:szCs w:val="14"/>
                      <w:lang w:val="en-US" w:eastAsia="zh-CN" w:bidi="ar"/>
                    </w:rPr>
                    <w:t>发布时间:2023-04-04 08:42:28    浏览次数：7416</w:t>
                  </w:r>
                </w:p>
              </w:tc>
            </w:tr>
          </w:tbl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" w:hRule="atLeast"/>
          <w:jc w:val="center"/>
        </w:trPr>
        <w:tc>
          <w:tcPr>
            <w:tcW w:w="0" w:type="auto"/>
            <w:shd w:val="clear" w:color="auto" w:fill="999999"/>
            <w:vAlign w:val="center"/>
          </w:tcPr>
          <w:p>
            <w:pPr>
              <w:jc w:val="center"/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0" w:type="auto"/>
            <w:shd w:val="clear" w:color="auto" w:fill="E3EDF9"/>
            <w:vAlign w:val="top"/>
          </w:tcPr>
          <w:tbl>
            <w:tblPr>
              <w:tblW w:w="9400" w:type="dxa"/>
              <w:jc w:val="center"/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9400"/>
            </w:tblGrid>
            <w:tr>
              <w:tblPrEx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jc w:val="center"/>
              </w:trPr>
              <w:tc>
                <w:tcPr>
                  <w:tcW w:w="0" w:type="auto"/>
                  <w:shd w:val="clear"/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     河南师范大学生命科学学院拥有生物学、生态学2个一级学科硕士学位授权点，学科教学（生物）、生物与医药、农艺与种业、食品加工与安全4个专业硕士学位授权点；具有生物学一级学科博士学位授权点、生物学博士后流动站和生物学河南省A类特色骨干学科；环境与生态学以及植物与动物科学两个学科进入ESI全球前1%，生物学、生态学一级学科为省级重点学科。现接收2023年硕士研究生调剂，欢迎各位考生报考，具体信息如下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    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 1、接收调剂专业及学习方式</w:t>
                  </w:r>
                </w:p>
                <w:tbl>
                  <w:tblPr>
                    <w:tblW w:w="9400" w:type="dxa"/>
                    <w:tblInd w:w="-5" w:type="dxa"/>
                    <w:tblBorders>
                      <w:top w:val="none" w:color="auto" w:sz="0" w:space="0"/>
                      <w:left w:val="none" w:color="auto" w:sz="0" w:space="0"/>
                      <w:bottom w:val="none" w:color="auto" w:sz="0" w:space="0"/>
                      <w:right w:val="none" w:color="auto" w:sz="0" w:space="0"/>
                      <w:insideH w:val="none" w:color="auto" w:sz="0" w:space="0"/>
                      <w:insideV w:val="none" w:color="auto" w:sz="0" w:space="0"/>
                    </w:tblBorders>
                    <w:shd w:val="clear"/>
                    <w:tblLayout w:type="autofit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1026"/>
                    <w:gridCol w:w="3265"/>
                    <w:gridCol w:w="2104"/>
                    <w:gridCol w:w="1846"/>
                    <w:gridCol w:w="1159"/>
                  </w:tblGrid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1" w:hRule="atLeast"/>
                    </w:trPr>
                    <w:tc>
                      <w:tcPr>
                        <w:tcW w:w="13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</w:pPr>
                        <w:r>
                          <w:rPr>
                            <w:bdr w:val="none" w:color="auto" w:sz="0" w:space="0"/>
                          </w:rPr>
                          <w:t>序号</w:t>
                        </w:r>
                      </w:p>
                    </w:tc>
                    <w:tc>
                      <w:tcPr>
                        <w:tcW w:w="47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专业名称</w:t>
                        </w:r>
                      </w:p>
                    </w:tc>
                    <w:tc>
                      <w:tcPr>
                        <w:tcW w:w="30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专业代码</w:t>
                        </w:r>
                      </w:p>
                    </w:tc>
                    <w:tc>
                      <w:tcPr>
                        <w:tcW w:w="26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学习方式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调剂名额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1" w:hRule="atLeast"/>
                    </w:trPr>
                    <w:tc>
                      <w:tcPr>
                        <w:tcW w:w="13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</w:pPr>
                        <w:r>
                          <w:rPr>
                            <w:bdr w:val="none" w:color="auto" w:sz="0" w:space="0"/>
                          </w:rPr>
                          <w:t>1</w:t>
                        </w:r>
                      </w:p>
                    </w:tc>
                    <w:tc>
                      <w:tcPr>
                        <w:tcW w:w="47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生态学</w:t>
                        </w:r>
                      </w:p>
                    </w:tc>
                    <w:tc>
                      <w:tcPr>
                        <w:tcW w:w="30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071300</w:t>
                        </w:r>
                      </w:p>
                    </w:tc>
                    <w:tc>
                      <w:tcPr>
                        <w:tcW w:w="26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全日制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1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1" w:hRule="atLeast"/>
                    </w:trPr>
                    <w:tc>
                      <w:tcPr>
                        <w:tcW w:w="13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</w:pPr>
                        <w:r>
                          <w:rPr>
                            <w:bdr w:val="none" w:color="auto" w:sz="0" w:space="0"/>
                          </w:rPr>
                          <w:t>2</w:t>
                        </w:r>
                      </w:p>
                    </w:tc>
                    <w:tc>
                      <w:tcPr>
                        <w:tcW w:w="47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课程与教学论</w:t>
                        </w:r>
                      </w:p>
                    </w:tc>
                    <w:tc>
                      <w:tcPr>
                        <w:tcW w:w="30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040102</w:t>
                        </w:r>
                      </w:p>
                    </w:tc>
                    <w:tc>
                      <w:tcPr>
                        <w:tcW w:w="26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全日制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2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1" w:hRule="atLeast"/>
                    </w:trPr>
                    <w:tc>
                      <w:tcPr>
                        <w:tcW w:w="13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</w:pPr>
                        <w:r>
                          <w:rPr>
                            <w:bdr w:val="none" w:color="auto" w:sz="0" w:space="0"/>
                          </w:rPr>
                          <w:t>3</w:t>
                        </w:r>
                      </w:p>
                    </w:tc>
                    <w:tc>
                      <w:tcPr>
                        <w:tcW w:w="47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农艺与种业（专业学位）</w:t>
                        </w:r>
                      </w:p>
                    </w:tc>
                    <w:tc>
                      <w:tcPr>
                        <w:tcW w:w="30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095131</w:t>
                        </w:r>
                      </w:p>
                    </w:tc>
                    <w:tc>
                      <w:tcPr>
                        <w:tcW w:w="26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全日制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5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1" w:hRule="atLeast"/>
                    </w:trPr>
                    <w:tc>
                      <w:tcPr>
                        <w:tcW w:w="13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</w:pPr>
                        <w:r>
                          <w:rPr>
                            <w:bdr w:val="none" w:color="auto" w:sz="0" w:space="0"/>
                          </w:rPr>
                          <w:t>4</w:t>
                        </w:r>
                      </w:p>
                    </w:tc>
                    <w:tc>
                      <w:tcPr>
                        <w:tcW w:w="47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食品加工与安全（专业学位）</w:t>
                        </w:r>
                      </w:p>
                    </w:tc>
                    <w:tc>
                      <w:tcPr>
                        <w:tcW w:w="30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095135</w:t>
                        </w:r>
                      </w:p>
                    </w:tc>
                    <w:tc>
                      <w:tcPr>
                        <w:tcW w:w="26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全日制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7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91" w:hRule="atLeast"/>
                    </w:trPr>
                    <w:tc>
                      <w:tcPr>
                        <w:tcW w:w="13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</w:pPr>
                        <w:r>
                          <w:rPr>
                            <w:bdr w:val="none" w:color="auto" w:sz="0" w:space="0"/>
                          </w:rPr>
                          <w:t>5</w:t>
                        </w:r>
                      </w:p>
                    </w:tc>
                    <w:tc>
                      <w:tcPr>
                        <w:tcW w:w="47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食品加工与安全（专业学位）</w:t>
                        </w:r>
                      </w:p>
                    </w:tc>
                    <w:tc>
                      <w:tcPr>
                        <w:tcW w:w="30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095135</w:t>
                        </w:r>
                      </w:p>
                    </w:tc>
                    <w:tc>
                      <w:tcPr>
                        <w:tcW w:w="26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非全日制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1</w:t>
                        </w:r>
                      </w:p>
                    </w:tc>
                  </w:tr>
                  <w:tr>
                    <w:tblPrEx>
                      <w:tblBorders>
                        <w:top w:val="none" w:color="auto" w:sz="0" w:space="0"/>
                        <w:left w:val="none" w:color="auto" w:sz="0" w:space="0"/>
                        <w:bottom w:val="none" w:color="auto" w:sz="0" w:space="0"/>
                        <w:right w:val="none" w:color="auto" w:sz="0" w:space="0"/>
                        <w:insideH w:val="none" w:color="auto" w:sz="0" w:space="0"/>
                        <w:insideV w:val="none" w:color="auto" w:sz="0" w:space="0"/>
                      </w:tblBorders>
                      <w:shd w:val="clear"/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1" w:hRule="atLeast"/>
                    </w:trPr>
                    <w:tc>
                      <w:tcPr>
                        <w:tcW w:w="13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</w:pPr>
                        <w:r>
                          <w:rPr>
                            <w:bdr w:val="none" w:color="auto" w:sz="0" w:space="0"/>
                          </w:rPr>
                          <w:t>6</w:t>
                        </w:r>
                      </w:p>
                    </w:tc>
                    <w:tc>
                      <w:tcPr>
                        <w:tcW w:w="47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学科教学（生物）（专业学位）</w:t>
                        </w:r>
                      </w:p>
                    </w:tc>
                    <w:tc>
                      <w:tcPr>
                        <w:tcW w:w="30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045107</w:t>
                        </w:r>
                      </w:p>
                    </w:tc>
                    <w:tc>
                      <w:tcPr>
                        <w:tcW w:w="267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非全日制</w:t>
                        </w:r>
                      </w:p>
                    </w:tc>
                    <w:tc>
                      <w:tcPr>
                        <w:tcW w:w="1580" w:type="dxa"/>
                        <w:tcBorders>
                          <w:top w:val="single" w:color="000000" w:sz="4" w:space="0"/>
                          <w:left w:val="single" w:color="000000" w:sz="4" w:space="0"/>
                          <w:bottom w:val="single" w:color="000000" w:sz="4" w:space="0"/>
                          <w:right w:val="single" w:color="000000" w:sz="4" w:space="0"/>
                        </w:tcBorders>
                        <w:shd w:val="clear"/>
                        <w:tcMar>
                          <w:top w:w="50" w:type="dxa"/>
                          <w:left w:w="100" w:type="dxa"/>
                          <w:bottom w:w="50" w:type="dxa"/>
                          <w:right w:w="100" w:type="dxa"/>
                        </w:tcMar>
                        <w:vAlign w:val="center"/>
                      </w:tcPr>
                      <w:p>
                        <w:pPr>
                          <w:pStyle w:val="2"/>
                          <w:keepNext w:val="0"/>
                          <w:keepLines w:val="0"/>
                          <w:widowControl/>
                          <w:suppressLineNumbers w:val="0"/>
                          <w:wordWrap w:val="0"/>
                        </w:pPr>
                        <w:r>
                          <w:rPr>
                            <w:bdr w:val="none" w:color="auto" w:sz="0" w:space="0"/>
                          </w:rPr>
                          <w:t>3</w:t>
                        </w:r>
                      </w:p>
                    </w:tc>
                  </w:tr>
                </w:tbl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     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2、调剂要求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     (1)调剂考生初试成绩需达到生命科学学院2023年硕士研究生招生一志愿复试分数（https://www.htu.edu.cn/smkx/2023/0328/c3086a266789/page.htm）。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     (2) 本科专业应为与调剂专业相关或相近的专业。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     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3、调剂信息填报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     调剂信息已在中国研究生招生信息网 “调剂意向采集服务系统”发布。有调剂意向的考生，可查询相关信息，做好调剂准备。 “2023年全国硕士研究生招生调剂服务系统”将于4月6日开通，申请调剂我校的考生的最终调剂必须通过登陆“中国研究生招生信息网”上的“调剂系统”完成。（特别提醒：没有在“中国研究生招生信息网”网上调剂系统进行登记的考生，调剂无效）。请符合条件、有调剂意向的考生密切关注学院调剂信息和调剂复试工作安排，按时提交相关材料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     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4、调剂复试安排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     生命科学学院2023年硕士研究生调剂复试工作拟于4月8日至4月9日在河南师范大学线下进行。复试办法依照《生命科学学院2023年硕士研究生招生复试及录取办法》（https://www.htu.edu.cn/smkx/2023/0328/c3086a266755/page.htm）。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 具体安排请考生关注系统信息和学院网站信息。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     </w:t>
                  </w:r>
                  <w:r>
                    <w:rPr>
                      <w:rStyle w:val="5"/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5、咨询方式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     办公地址: 河南省新乡市建设东路46号河南师范大学西校区生物西楼111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</w:pPr>
                  <w:r>
                    <w:rPr>
                      <w:rFonts w:hint="eastAsia" w:ascii="微软雅黑" w:hAnsi="微软雅黑" w:eastAsia="微软雅黑" w:cs="微软雅黑"/>
                      <w:sz w:val="14"/>
                      <w:szCs w:val="14"/>
                    </w:rPr>
                    <w:t>     联系电话：0373-3329102；0373-3326553</w:t>
                  </w:r>
                </w:p>
              </w:tc>
            </w:tr>
          </w:tbl>
          <w:p>
            <w:pPr>
              <w:rPr>
                <w:rFonts w:hint="eastAsia" w:ascii="微软雅黑" w:hAnsi="微软雅黑" w:eastAsia="微软雅黑" w:cs="微软雅黑"/>
                <w:i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F35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2023-05-21T01:26:00Z</dcterms:created>
  <dc:creator>86188</dc:creator>
  <cp:lastModifiedBy>随风而动</cp:lastModifiedBy>
  <dcterms:modified xsi:type="dcterms:W3CDTF">2023-05-21T01:26:02Z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