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1B5CAC" w:sz="4"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i w:val="0"/>
          <w:caps w:val="0"/>
          <w:color w:val="1B5CAC"/>
          <w:spacing w:val="0"/>
        </w:rPr>
      </w:pPr>
      <w:r>
        <w:rPr>
          <w:rFonts w:hint="eastAsia" w:ascii="微软雅黑" w:hAnsi="微软雅黑" w:eastAsia="微软雅黑" w:cs="微软雅黑"/>
          <w:b/>
          <w:i w:val="0"/>
          <w:caps w:val="0"/>
          <w:color w:val="1B5CAC"/>
          <w:spacing w:val="0"/>
          <w:bdr w:val="none" w:color="auto" w:sz="0" w:space="0"/>
          <w:shd w:val="clear" w:fill="FFFFFF"/>
        </w:rPr>
        <w:t>河南科技大学机电工程学院（代码：001）2023年硕士研究生招生调剂工作办法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b w:val="0"/>
          <w:i w:val="0"/>
          <w:caps w:val="0"/>
          <w:color w:val="AAAAAA"/>
          <w:spacing w:val="0"/>
          <w:sz w:val="14"/>
          <w:szCs w:val="14"/>
        </w:rPr>
      </w:pPr>
      <w:r>
        <w:rPr>
          <w:rFonts w:hint="eastAsia" w:ascii="微软雅黑" w:hAnsi="微软雅黑" w:eastAsia="微软雅黑" w:cs="微软雅黑"/>
          <w:b w:val="0"/>
          <w:i w:val="0"/>
          <w:caps w:val="0"/>
          <w:color w:val="AAAAAA"/>
          <w:spacing w:val="0"/>
          <w:sz w:val="14"/>
          <w:szCs w:val="14"/>
          <w:bdr w:val="none" w:color="auto" w:sz="0" w:space="0"/>
          <w:shd w:val="clear" w:fill="FFFFFF"/>
        </w:rPr>
        <w:t>发布时间：2023-04-06    访问热度：3192</w:t>
      </w:r>
    </w:p>
    <w:p>
      <w:pPr>
        <w:pStyle w:val="4"/>
        <w:keepNext w:val="0"/>
        <w:keepLines w:val="0"/>
        <w:widowControl/>
        <w:suppressLineNumbers w:val="0"/>
        <w:spacing w:before="0" w:beforeAutospacing="0" w:after="0" w:afterAutospacing="0" w:line="320" w:lineRule="atLeast"/>
        <w:ind w:left="0" w:right="0" w:firstLine="420"/>
        <w:rPr>
          <w:color w:val="444444"/>
        </w:rPr>
      </w:pPr>
      <w:r>
        <w:rPr>
          <w:rStyle w:val="7"/>
          <w:rFonts w:hint="eastAsia" w:ascii="微软雅黑" w:hAnsi="微软雅黑" w:eastAsia="微软雅黑" w:cs="微软雅黑"/>
          <w:i w:val="0"/>
          <w:caps w:val="0"/>
          <w:color w:val="444444"/>
          <w:spacing w:val="0"/>
          <w:sz w:val="16"/>
          <w:szCs w:val="16"/>
          <w:shd w:val="clear" w:fill="FFFFFF"/>
        </w:rPr>
        <w:t>一、调剂基本条件：</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1. 拟接收调剂专业为我校当年硕士研究生招生专业目录中所列出的招生专业，且符合教育部《2023年全国硕士研究生招生工作管理规定》有关调剂工作的相关规定和我校招生简章中规定的调入专业的报考条件。</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2. 初试成绩符合第一志愿报考专业A类考生全国初试成绩基本要求，且不低于我院相关专业复试分数线，详见：https://jd.haust.edu.cn/info/1029/68666.htm。</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3. 调入专业与第一志愿报考专业相同或相近，应在同一学科门类范围内。</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4. 初试科目与调入专业初试科目相同或相近，其中初试全国统一命题科目应与调入专业全国统一命题科目相同。</w:t>
      </w:r>
    </w:p>
    <w:p>
      <w:pPr>
        <w:pStyle w:val="4"/>
        <w:keepNext w:val="0"/>
        <w:keepLines w:val="0"/>
        <w:widowControl/>
        <w:suppressLineNumbers w:val="0"/>
        <w:spacing w:before="0" w:beforeAutospacing="0" w:after="0" w:afterAutospacing="0" w:line="320" w:lineRule="atLeast"/>
        <w:ind w:left="0" w:right="0" w:firstLine="420"/>
        <w:rPr>
          <w:color w:val="444444"/>
        </w:rPr>
      </w:pPr>
      <w:r>
        <w:rPr>
          <w:rStyle w:val="7"/>
          <w:rFonts w:hint="eastAsia" w:ascii="微软雅黑" w:hAnsi="微软雅黑" w:eastAsia="微软雅黑" w:cs="微软雅黑"/>
          <w:i w:val="0"/>
          <w:caps w:val="0"/>
          <w:color w:val="444444"/>
          <w:spacing w:val="0"/>
          <w:sz w:val="16"/>
          <w:szCs w:val="16"/>
          <w:shd w:val="clear" w:fill="FFFFFF"/>
        </w:rPr>
        <w:t>二、拟接收调剂专业及人数：</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2023年我院拟接收调剂 20 名全日制硕士研究生，3名非全日制硕士研究生，各专业调剂要求及拟接收人数如下：</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960"/>
        <w:gridCol w:w="840"/>
        <w:gridCol w:w="840"/>
        <w:gridCol w:w="1320"/>
        <w:gridCol w:w="5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专业名称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专业代码</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学习方式</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机械工程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080200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仪器科学与技术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080400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管理科学与工程（工学）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087100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工业工程与管理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125603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工业工程与管理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125603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center"/>
            </w:pPr>
            <w:r>
              <w:rPr>
                <w:rFonts w:ascii="宋体" w:hAnsi="宋体" w:eastAsia="宋体" w:cs="宋体"/>
                <w:kern w:val="0"/>
                <w:sz w:val="16"/>
                <w:szCs w:val="16"/>
                <w:bdr w:val="none" w:color="auto" w:sz="0" w:space="0"/>
                <w:lang w:val="en-US" w:eastAsia="zh-CN" w:bidi="ar"/>
              </w:rPr>
              <w:t>3</w:t>
            </w:r>
          </w:p>
        </w:tc>
      </w:tr>
    </w:tbl>
    <w:p>
      <w:pPr>
        <w:pStyle w:val="4"/>
        <w:keepNext w:val="0"/>
        <w:keepLines w:val="0"/>
        <w:widowControl/>
        <w:suppressLineNumbers w:val="0"/>
        <w:spacing w:before="0" w:beforeAutospacing="0" w:after="0" w:afterAutospacing="0" w:line="320" w:lineRule="atLeast"/>
        <w:ind w:left="0" w:right="0" w:firstLine="420"/>
        <w:rPr>
          <w:color w:val="444444"/>
        </w:rPr>
      </w:pPr>
      <w:r>
        <w:rPr>
          <w:rStyle w:val="7"/>
          <w:rFonts w:hint="eastAsia" w:ascii="微软雅黑" w:hAnsi="微软雅黑" w:eastAsia="微软雅黑" w:cs="微软雅黑"/>
          <w:i w:val="0"/>
          <w:caps w:val="0"/>
          <w:color w:val="444444"/>
          <w:spacing w:val="0"/>
          <w:sz w:val="16"/>
          <w:szCs w:val="16"/>
          <w:shd w:val="clear" w:fill="FFFFFF"/>
        </w:rPr>
        <w:t>三、调剂工作流程</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1. 2023 年 4 月 6 日 17:00起，不低于12小时，符合调剂条件且有调剂意向的考生登录中国研究生招生信息网“全国硕士研究生招生调剂服务系统”填报本人调剂信息。</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2. 学院通过调剂系统网站筛选调剂考生信息，根据《河南科技大学2023年硕士研究生招生调剂工作办法》的要求，择优确定复试名单并报校研招办审核后，在学院网站公示复试名单并逐一通知考生参加复试。</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3. 调剂考生收到复试通知后在规定时间内回复，逾期不回复的视为放弃。</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4. 同意调剂的考生应在学院安排的时间参加复试，不参加复试的视为放弃。</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5. 考生通过复试后，学院将拟录取名单及时报研招办审核，审核无误后通过调剂系统向拟录取的调剂考生发送待录取通知。</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6. 考生在规定时间内，登陆调剂系统确认接受待录取，逾期视为放弃，取消拟录取资格。</w:t>
      </w:r>
    </w:p>
    <w:p>
      <w:pPr>
        <w:pStyle w:val="4"/>
        <w:keepNext w:val="0"/>
        <w:keepLines w:val="0"/>
        <w:widowControl/>
        <w:suppressLineNumbers w:val="0"/>
        <w:spacing w:before="0" w:beforeAutospacing="0" w:after="0" w:afterAutospacing="0" w:line="320" w:lineRule="atLeast"/>
        <w:ind w:left="0" w:right="0" w:firstLine="420"/>
        <w:rPr>
          <w:color w:val="444444"/>
        </w:rPr>
      </w:pPr>
      <w:r>
        <w:rPr>
          <w:rStyle w:val="7"/>
          <w:rFonts w:hint="eastAsia" w:ascii="微软雅黑" w:hAnsi="微软雅黑" w:eastAsia="微软雅黑" w:cs="微软雅黑"/>
          <w:i w:val="0"/>
          <w:caps w:val="0"/>
          <w:color w:val="444444"/>
          <w:spacing w:val="0"/>
          <w:sz w:val="16"/>
          <w:szCs w:val="16"/>
          <w:shd w:val="clear" w:fill="FFFFFF"/>
        </w:rPr>
        <w:t>四、调剂复试、录取</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调剂考生的复试、录取按照《河南科技大学2023年硕士研究生复试录取办法》及机电工程学院招生复试工作细则的要求执行（详见：https://jd.haust.edu.cn/info/1029/68666.htm）。</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我院 2023 年硕士研究生招生调剂复试以</w:t>
      </w:r>
      <w:r>
        <w:rPr>
          <w:rStyle w:val="7"/>
          <w:rFonts w:hint="eastAsia" w:ascii="微软雅黑" w:hAnsi="微软雅黑" w:eastAsia="微软雅黑" w:cs="微软雅黑"/>
          <w:i w:val="0"/>
          <w:caps w:val="0"/>
          <w:color w:val="444444"/>
          <w:spacing w:val="0"/>
          <w:sz w:val="16"/>
          <w:szCs w:val="16"/>
          <w:shd w:val="clear" w:fill="FFFFFF"/>
        </w:rPr>
        <w:t>线下复试</w:t>
      </w:r>
      <w:r>
        <w:rPr>
          <w:rFonts w:hint="eastAsia" w:ascii="微软雅黑" w:hAnsi="微软雅黑" w:eastAsia="微软雅黑" w:cs="微软雅黑"/>
          <w:i w:val="0"/>
          <w:caps w:val="0"/>
          <w:color w:val="444444"/>
          <w:spacing w:val="0"/>
          <w:sz w:val="16"/>
          <w:szCs w:val="16"/>
          <w:shd w:val="clear" w:fill="FFFFFF"/>
        </w:rPr>
        <w:t>方式进行，具体调剂复试安排及要求以学院通知为准，请考生提前做好准备。</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1．学院根据实际情况确定调剂复试安排，并及时通过电话逐一通知调剂考生。</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2．学院按照招生计划、复试工作细则、考生总成绩排名、思想政治和品德、身心健康状况等择优确定拟录取名单。</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3．报考资格不符合规定者不予录取；思想政治和品德考核不合格者不予录取；复试成绩不合格者不予录取。</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4．调剂复试结束后 48 小时内，所有参与复试考生的复试成绩及综合成绩在学院网站进行公示。</w:t>
      </w:r>
    </w:p>
    <w:p>
      <w:pPr>
        <w:pStyle w:val="4"/>
        <w:keepNext w:val="0"/>
        <w:keepLines w:val="0"/>
        <w:widowControl/>
        <w:suppressLineNumbers w:val="0"/>
        <w:spacing w:before="0" w:beforeAutospacing="0" w:after="0" w:afterAutospacing="0" w:line="320" w:lineRule="atLeast"/>
        <w:ind w:left="0" w:right="0" w:firstLine="420"/>
        <w:rPr>
          <w:color w:val="444444"/>
        </w:rPr>
      </w:pPr>
      <w:r>
        <w:rPr>
          <w:rStyle w:val="7"/>
          <w:rFonts w:hint="eastAsia" w:ascii="微软雅黑" w:hAnsi="微软雅黑" w:eastAsia="微软雅黑" w:cs="微软雅黑"/>
          <w:i w:val="0"/>
          <w:caps w:val="0"/>
          <w:color w:val="444444"/>
          <w:spacing w:val="0"/>
          <w:sz w:val="16"/>
          <w:szCs w:val="16"/>
          <w:shd w:val="clear" w:fill="FFFFFF"/>
        </w:rPr>
        <w:t>五、其他</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1. 我院设定调剂志愿锁定时间为 24 小时。为便于考生填报其他志愿，我院将第一时间主动给未达到要求或最终未被遴选上的调剂志愿解锁，原则上不另接受考生提出的调剂志愿解锁申请。</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2. 我院以研招网信息平台、网站、电话、电子邮件、短信等方式公开或发送给考生的相关信息、文件和消息，均视为送达，因考生个人疏忽等原因造成的一切后果由考生本人承担。</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3. 为及时处理调剂工作中出现的争议，学院会保证考生申诉渠道畅通。考生如对学院复试录取结果有异议，可通过学院公布的监督电话进行申诉。申诉人对学院的答复有异议的，可向学校研招办投诉，投诉材料应包含学院对申诉和投诉的答复。不采纳违规私自进行录音、录像、录屏的内容作为复议材料。</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4. 本办法未尽事宜以教育部《2023年全国硕士研究生招生工作管理规定》等文件和学校相关规定为准；如有与国家有关法规政策相抵触的，以国家法规政策为准。</w:t>
      </w:r>
    </w:p>
    <w:p>
      <w:pPr>
        <w:pStyle w:val="4"/>
        <w:keepNext w:val="0"/>
        <w:keepLines w:val="0"/>
        <w:widowControl/>
        <w:suppressLineNumbers w:val="0"/>
        <w:spacing w:before="0" w:beforeAutospacing="0" w:after="0" w:afterAutospacing="0" w:line="320" w:lineRule="atLeast"/>
        <w:ind w:left="0" w:right="0" w:firstLine="420"/>
        <w:rPr>
          <w:color w:val="444444"/>
        </w:rPr>
      </w:pPr>
      <w:r>
        <w:rPr>
          <w:rStyle w:val="7"/>
          <w:rFonts w:hint="eastAsia" w:ascii="微软雅黑" w:hAnsi="微软雅黑" w:eastAsia="微软雅黑" w:cs="微软雅黑"/>
          <w:i w:val="0"/>
          <w:caps w:val="0"/>
          <w:color w:val="444444"/>
          <w:spacing w:val="0"/>
          <w:sz w:val="16"/>
          <w:szCs w:val="16"/>
          <w:shd w:val="clear" w:fill="FFFFFF"/>
        </w:rPr>
        <w:t>六、咨询及申诉联系方式</w:t>
      </w:r>
    </w:p>
    <w:p>
      <w:pPr>
        <w:pStyle w:val="4"/>
        <w:keepNext w:val="0"/>
        <w:keepLines w:val="0"/>
        <w:widowControl/>
        <w:suppressLineNumbers w:val="0"/>
        <w:spacing w:before="0" w:beforeAutospacing="0" w:after="0" w:afterAutospacing="0" w:line="320" w:lineRule="atLeast"/>
        <w:ind w:left="0" w:right="0" w:firstLine="420"/>
        <w:rPr>
          <w:color w:val="444444"/>
        </w:rPr>
      </w:pPr>
      <w:r>
        <w:rPr>
          <w:rStyle w:val="7"/>
          <w:rFonts w:hint="eastAsia" w:ascii="微软雅黑" w:hAnsi="微软雅黑" w:eastAsia="微软雅黑" w:cs="微软雅黑"/>
          <w:i w:val="0"/>
          <w:caps w:val="0"/>
          <w:color w:val="444444"/>
          <w:spacing w:val="0"/>
          <w:sz w:val="16"/>
          <w:szCs w:val="16"/>
          <w:shd w:val="clear" w:fill="FFFFFF"/>
        </w:rPr>
        <w:t>机电工程学院研究生办：</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咨询电话：0379-64231737/64231479</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监督电话：0379-69979852</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通信地址：河南省洛阳市涧西区西苑路 48 号</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邮政编码：471003</w:t>
      </w:r>
    </w:p>
    <w:p>
      <w:pPr>
        <w:pStyle w:val="4"/>
        <w:keepNext w:val="0"/>
        <w:keepLines w:val="0"/>
        <w:widowControl/>
        <w:suppressLineNumbers w:val="0"/>
        <w:spacing w:before="0" w:beforeAutospacing="0" w:after="0" w:afterAutospacing="0" w:line="320" w:lineRule="atLeast"/>
        <w:ind w:left="0" w:right="0" w:firstLine="420"/>
        <w:rPr>
          <w:color w:val="444444"/>
        </w:rPr>
      </w:pPr>
      <w:r>
        <w:rPr>
          <w:rFonts w:hint="eastAsia" w:ascii="微软雅黑" w:hAnsi="微软雅黑" w:eastAsia="微软雅黑" w:cs="微软雅黑"/>
          <w:i w:val="0"/>
          <w:caps w:val="0"/>
          <w:color w:val="444444"/>
          <w:spacing w:val="0"/>
          <w:sz w:val="16"/>
          <w:szCs w:val="16"/>
          <w:shd w:val="clear" w:fill="FFFFFF"/>
        </w:rPr>
        <w:t>机电工程学院网址：https://jd.haust.edu.cn/</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C92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2023-05-19T06:47:31Z</dcterms:created>
  <dc:creator>86188</dc:creator>
  <cp:lastModifiedBy>随风而动</cp:lastModifiedBy>
  <dcterms:modified xsi:type="dcterms:W3CDTF">2023-05-19T06:47:33Z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