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000000"/>
          <w:spacing w:val="0"/>
        </w:rPr>
      </w:pPr>
      <w:r>
        <w:rPr>
          <w:rFonts w:hint="eastAsia" w:ascii="宋体" w:hAnsi="宋体" w:eastAsia="宋体" w:cs="宋体"/>
          <w:i w:val="0"/>
          <w:caps w:val="0"/>
          <w:color w:val="000000"/>
          <w:spacing w:val="0"/>
          <w:bdr w:val="none" w:color="auto" w:sz="0" w:space="0"/>
          <w:shd w:val="clear" w:fill="FFFFFF"/>
        </w:rPr>
        <w:t>化学化工学院2023年硕士研究生招生调剂公告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7"/>
          <w:szCs w:val="27"/>
          <w:bdr w:val="none" w:color="auto" w:sz="0" w:space="0"/>
          <w:shd w:val="clear" w:fill="FFFFFF"/>
          <w:lang w:val="en-US" w:eastAsia="zh-CN" w:bidi="ar"/>
        </w:rPr>
        <w:t>2023年04月04日 10:07  （点击次数：2025）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3" w:lineRule="atLeast"/>
        <w:ind w:left="0" w:right="80" w:firstLine="360"/>
        <w:jc w:val="left"/>
        <w:rPr>
          <w:sz w:val="28"/>
          <w:szCs w:val="28"/>
        </w:rPr>
      </w:pPr>
      <w:r>
        <w:rPr>
          <w:rFonts w:ascii="黑体" w:hAnsi="宋体" w:eastAsia="黑体" w:cs="黑体"/>
          <w:b/>
          <w:i w:val="0"/>
          <w:caps w:val="0"/>
          <w:color w:val="000000"/>
          <w:spacing w:val="10"/>
          <w:kern w:val="0"/>
          <w:sz w:val="16"/>
          <w:szCs w:val="16"/>
          <w:bdr w:val="none" w:color="auto" w:sz="0" w:space="0"/>
          <w:shd w:val="clear" w:fill="FFFFFF"/>
          <w:lang w:val="en-US" w:eastAsia="zh-CN" w:bidi="ar"/>
        </w:rPr>
        <w:t>根据我校一志愿考生报考及过线情况，我院</w:t>
      </w:r>
      <w:r>
        <w:rPr>
          <w:rFonts w:hint="eastAsia" w:ascii="黑体" w:hAnsi="宋体" w:eastAsia="黑体" w:cs="黑体"/>
          <w:b/>
          <w:i w:val="0"/>
          <w:caps w:val="0"/>
          <w:color w:val="000000"/>
          <w:spacing w:val="10"/>
          <w:kern w:val="0"/>
          <w:sz w:val="16"/>
          <w:szCs w:val="16"/>
          <w:bdr w:val="none" w:color="auto" w:sz="0" w:space="0"/>
          <w:shd w:val="clear" w:fill="FFFFFF"/>
          <w:lang w:val="en-US" w:eastAsia="zh-CN" w:bidi="ar"/>
        </w:rPr>
        <w:t>部分专业尚有缺额，可以接受全国考生调剂申请，欢迎广大考生咨询填报。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30" w:afterAutospacing="0" w:line="213" w:lineRule="atLeast"/>
        <w:ind w:left="0" w:right="80" w:firstLine="420"/>
        <w:jc w:val="left"/>
        <w:rPr>
          <w:sz w:val="28"/>
          <w:szCs w:val="28"/>
        </w:rPr>
      </w:pPr>
      <w:r>
        <w:rPr>
          <w:rFonts w:hint="eastAsia" w:ascii="黑体" w:hAnsi="宋体" w:eastAsia="黑体" w:cs="黑体"/>
          <w:b/>
          <w:i w:val="0"/>
          <w:caps w:val="0"/>
          <w:color w:val="000000"/>
          <w:spacing w:val="10"/>
          <w:kern w:val="0"/>
          <w:sz w:val="16"/>
          <w:szCs w:val="16"/>
          <w:bdr w:val="none" w:color="auto" w:sz="0" w:space="0"/>
          <w:shd w:val="clear" w:fill="FFFFFF"/>
          <w:lang w:val="en-US" w:eastAsia="zh-CN" w:bidi="ar"/>
        </w:rPr>
        <w:t>一、可接受调剂的学科专业</w:t>
      </w:r>
    </w:p>
    <w:tbl>
      <w:tblPr>
        <w:tblW w:w="5450" w:type="dxa"/>
        <w:jc w:val="center"/>
        <w:shd w:val="clear"/>
        <w:tblLayout w:type="autofit"/>
        <w:tblCellMar>
          <w:top w:w="0" w:type="dxa"/>
          <w:left w:w="0" w:type="dxa"/>
          <w:bottom w:w="0" w:type="dxa"/>
          <w:right w:w="0" w:type="dxa"/>
        </w:tblCellMar>
      </w:tblPr>
      <w:tblGrid>
        <w:gridCol w:w="1010"/>
        <w:gridCol w:w="2080"/>
        <w:gridCol w:w="2360"/>
      </w:tblGrid>
      <w:tr>
        <w:tblPrEx>
          <w:shd w:val="clear"/>
          <w:tblCellMar>
            <w:top w:w="0" w:type="dxa"/>
            <w:left w:w="0" w:type="dxa"/>
            <w:bottom w:w="0" w:type="dxa"/>
            <w:right w:w="0" w:type="dxa"/>
          </w:tblCellMar>
        </w:tblPrEx>
        <w:trPr>
          <w:trHeight w:val="210" w:hRule="atLeast"/>
          <w:jc w:val="center"/>
        </w:trPr>
        <w:tc>
          <w:tcPr>
            <w:tcW w:w="1010" w:type="dxa"/>
            <w:tcBorders>
              <w:top w:val="single" w:color="000000" w:sz="4" w:space="0"/>
              <w:left w:val="single" w:color="000000" w:sz="4" w:space="0"/>
              <w:bottom w:val="single" w:color="000000" w:sz="4" w:space="0"/>
              <w:right w:val="single" w:color="000000" w:sz="4" w:space="0"/>
            </w:tcBorders>
            <w:shd w:val="clear"/>
            <w:tcMar>
              <w:left w:w="60" w:type="dxa"/>
              <w:right w:w="6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center"/>
              <w:rPr>
                <w:sz w:val="28"/>
                <w:szCs w:val="28"/>
              </w:rPr>
            </w:pPr>
            <w:r>
              <w:rPr>
                <w:rFonts w:hint="eastAsia" w:ascii="黑体" w:hAnsi="宋体" w:eastAsia="黑体" w:cs="黑体"/>
                <w:b/>
                <w:color w:val="000000"/>
                <w:kern w:val="0"/>
                <w:sz w:val="16"/>
                <w:szCs w:val="16"/>
                <w:bdr w:val="none" w:color="auto" w:sz="0" w:space="0"/>
                <w:lang w:val="en-US" w:eastAsia="zh-CN" w:bidi="ar"/>
              </w:rPr>
              <w:t>学科代码</w:t>
            </w:r>
          </w:p>
        </w:tc>
        <w:tc>
          <w:tcPr>
            <w:tcW w:w="2080" w:type="dxa"/>
            <w:tcBorders>
              <w:top w:val="single" w:color="000000" w:sz="4" w:space="0"/>
              <w:left w:val="nil"/>
              <w:bottom w:val="single" w:color="000000" w:sz="4" w:space="0"/>
              <w:right w:val="single" w:color="000000" w:sz="4" w:space="0"/>
            </w:tcBorders>
            <w:shd w:val="clear"/>
            <w:tcMar>
              <w:left w:w="60" w:type="dxa"/>
              <w:right w:w="6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center"/>
              <w:rPr>
                <w:sz w:val="28"/>
                <w:szCs w:val="28"/>
              </w:rPr>
            </w:pPr>
            <w:r>
              <w:rPr>
                <w:rFonts w:hint="eastAsia" w:ascii="黑体" w:hAnsi="宋体" w:eastAsia="黑体" w:cs="黑体"/>
                <w:b/>
                <w:color w:val="000000"/>
                <w:kern w:val="0"/>
                <w:sz w:val="16"/>
                <w:szCs w:val="16"/>
                <w:bdr w:val="none" w:color="auto" w:sz="0" w:space="0"/>
                <w:lang w:val="en-US" w:eastAsia="zh-CN" w:bidi="ar"/>
              </w:rPr>
              <w:t>学科（材料与化工）</w:t>
            </w:r>
          </w:p>
        </w:tc>
        <w:tc>
          <w:tcPr>
            <w:tcW w:w="2360" w:type="dxa"/>
            <w:tcBorders>
              <w:top w:val="single" w:color="000000" w:sz="4" w:space="0"/>
              <w:left w:val="nil"/>
              <w:bottom w:val="single" w:color="000000" w:sz="4" w:space="0"/>
              <w:right w:val="single" w:color="000000" w:sz="4" w:space="0"/>
            </w:tcBorders>
            <w:shd w:val="clear"/>
            <w:tcMar>
              <w:left w:w="60" w:type="dxa"/>
              <w:right w:w="6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0" w:afterAutospacing="0" w:line="336" w:lineRule="atLeast"/>
              <w:ind w:left="0" w:right="0" w:firstLine="0"/>
              <w:jc w:val="center"/>
              <w:rPr>
                <w:sz w:val="28"/>
                <w:szCs w:val="28"/>
              </w:rPr>
            </w:pPr>
            <w:r>
              <w:rPr>
                <w:rFonts w:hint="eastAsia" w:ascii="黑体" w:hAnsi="宋体" w:eastAsia="黑体" w:cs="黑体"/>
                <w:b/>
                <w:color w:val="000000"/>
                <w:kern w:val="0"/>
                <w:sz w:val="16"/>
                <w:szCs w:val="16"/>
                <w:bdr w:val="none" w:color="auto" w:sz="0" w:space="0"/>
                <w:lang w:val="en-US" w:eastAsia="zh-CN" w:bidi="ar"/>
              </w:rPr>
              <w:t>联系人</w:t>
            </w:r>
          </w:p>
        </w:tc>
      </w:tr>
      <w:tr>
        <w:tblPrEx>
          <w:shd w:val="clear"/>
          <w:tblCellMar>
            <w:top w:w="0" w:type="dxa"/>
            <w:left w:w="0" w:type="dxa"/>
            <w:bottom w:w="0" w:type="dxa"/>
            <w:right w:w="0" w:type="dxa"/>
          </w:tblCellMar>
        </w:tblPrEx>
        <w:trPr>
          <w:trHeight w:val="210" w:hRule="atLeast"/>
          <w:jc w:val="center"/>
        </w:trPr>
        <w:tc>
          <w:tcPr>
            <w:tcW w:w="1010" w:type="dxa"/>
            <w:tcBorders>
              <w:top w:val="nil"/>
              <w:left w:val="single" w:color="000000" w:sz="4" w:space="0"/>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center"/>
              <w:rPr>
                <w:sz w:val="28"/>
                <w:szCs w:val="28"/>
              </w:rPr>
            </w:pPr>
            <w:r>
              <w:rPr>
                <w:rFonts w:ascii="Times New Roman" w:hAnsi="Times New Roman" w:cs="Times New Roman" w:eastAsiaTheme="minorEastAsia"/>
                <w:color w:val="000000"/>
                <w:kern w:val="0"/>
                <w:sz w:val="16"/>
                <w:szCs w:val="16"/>
                <w:bdr w:val="none" w:color="auto" w:sz="0" w:space="0"/>
                <w:lang w:val="en-US" w:eastAsia="zh-CN" w:bidi="ar"/>
              </w:rPr>
              <w:t>0</w:t>
            </w:r>
            <w:r>
              <w:rPr>
                <w:rFonts w:hint="default" w:ascii="Times New Roman" w:hAnsi="Times New Roman" w:eastAsia="黑体" w:cs="Times New Roman"/>
                <w:color w:val="000000"/>
                <w:kern w:val="0"/>
                <w:sz w:val="16"/>
                <w:szCs w:val="16"/>
                <w:bdr w:val="none" w:color="auto" w:sz="0" w:space="0"/>
                <w:lang w:val="en-US" w:eastAsia="zh-CN" w:bidi="ar"/>
              </w:rPr>
              <w:t>85600</w:t>
            </w:r>
          </w:p>
        </w:tc>
        <w:tc>
          <w:tcPr>
            <w:tcW w:w="2080" w:type="dxa"/>
            <w:tcBorders>
              <w:top w:val="nil"/>
              <w:left w:val="nil"/>
              <w:bottom w:val="single" w:color="000000" w:sz="4" w:space="0"/>
              <w:right w:val="single" w:color="000000" w:sz="4" w:space="0"/>
            </w:tcBorders>
            <w:shd w:val="clear"/>
            <w:tcMar>
              <w:left w:w="60" w:type="dxa"/>
              <w:right w:w="6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left"/>
              <w:rPr>
                <w:sz w:val="28"/>
                <w:szCs w:val="28"/>
              </w:rPr>
            </w:pPr>
            <w:r>
              <w:rPr>
                <w:rFonts w:hint="default" w:ascii="Times New Roman" w:hAnsi="Times New Roman" w:cs="Times New Roman" w:eastAsiaTheme="minorEastAsia"/>
                <w:color w:val="000000"/>
                <w:kern w:val="0"/>
                <w:sz w:val="16"/>
                <w:szCs w:val="16"/>
                <w:bdr w:val="none" w:color="auto" w:sz="0" w:space="0"/>
                <w:lang w:val="en-US" w:eastAsia="zh-CN" w:bidi="ar"/>
              </w:rPr>
              <w:t>01</w:t>
            </w:r>
            <w:r>
              <w:rPr>
                <w:rFonts w:hint="eastAsia" w:ascii="黑体" w:hAnsi="宋体" w:eastAsia="黑体" w:cs="黑体"/>
                <w:color w:val="000000"/>
                <w:kern w:val="0"/>
                <w:sz w:val="16"/>
                <w:szCs w:val="16"/>
                <w:bdr w:val="none" w:color="auto" w:sz="0" w:space="0"/>
                <w:lang w:val="en-US" w:eastAsia="zh-CN" w:bidi="ar"/>
              </w:rPr>
              <w:t>分离分析材料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left"/>
              <w:rPr>
                <w:sz w:val="28"/>
                <w:szCs w:val="28"/>
              </w:rPr>
            </w:pPr>
            <w:r>
              <w:rPr>
                <w:rFonts w:hint="default" w:ascii="Times New Roman" w:hAnsi="Times New Roman" w:cs="Times New Roman" w:eastAsiaTheme="minorEastAsia"/>
                <w:color w:val="000000"/>
                <w:kern w:val="0"/>
                <w:sz w:val="16"/>
                <w:szCs w:val="16"/>
                <w:bdr w:val="none" w:color="auto" w:sz="0" w:space="0"/>
                <w:lang w:val="en-US" w:eastAsia="zh-CN" w:bidi="ar"/>
              </w:rPr>
              <w:t>02</w:t>
            </w:r>
            <w:r>
              <w:rPr>
                <w:rFonts w:hint="eastAsia" w:ascii="黑体" w:hAnsi="宋体" w:eastAsia="黑体" w:cs="黑体"/>
                <w:color w:val="000000"/>
                <w:kern w:val="0"/>
                <w:sz w:val="16"/>
                <w:szCs w:val="16"/>
                <w:bdr w:val="none" w:color="auto" w:sz="0" w:space="0"/>
                <w:lang w:val="en-US" w:eastAsia="zh-CN" w:bidi="ar"/>
              </w:rPr>
              <w:t>新型储能材料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left"/>
              <w:rPr>
                <w:sz w:val="28"/>
                <w:szCs w:val="28"/>
              </w:rPr>
            </w:pPr>
            <w:r>
              <w:rPr>
                <w:rFonts w:hint="default" w:ascii="Times New Roman" w:hAnsi="Times New Roman" w:cs="Times New Roman" w:eastAsiaTheme="minorEastAsia"/>
                <w:color w:val="000000"/>
                <w:kern w:val="0"/>
                <w:sz w:val="16"/>
                <w:szCs w:val="16"/>
                <w:bdr w:val="none" w:color="auto" w:sz="0" w:space="0"/>
                <w:lang w:val="en-US" w:eastAsia="zh-CN" w:bidi="ar"/>
              </w:rPr>
              <w:t>03</w:t>
            </w:r>
            <w:r>
              <w:rPr>
                <w:rFonts w:hint="eastAsia" w:ascii="黑体" w:hAnsi="宋体" w:eastAsia="黑体" w:cs="黑体"/>
                <w:color w:val="000000"/>
                <w:kern w:val="0"/>
                <w:sz w:val="16"/>
                <w:szCs w:val="16"/>
                <w:bdr w:val="none" w:color="auto" w:sz="0" w:space="0"/>
                <w:lang w:val="en-US" w:eastAsia="zh-CN" w:bidi="ar"/>
              </w:rPr>
              <w:t>绿色催化</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left"/>
              <w:rPr>
                <w:sz w:val="28"/>
                <w:szCs w:val="28"/>
              </w:rPr>
            </w:pPr>
            <w:r>
              <w:rPr>
                <w:rFonts w:hint="default" w:ascii="Times New Roman" w:hAnsi="Times New Roman" w:cs="Times New Roman" w:eastAsiaTheme="minorEastAsia"/>
                <w:color w:val="000000"/>
                <w:kern w:val="0"/>
                <w:sz w:val="16"/>
                <w:szCs w:val="16"/>
                <w:bdr w:val="none" w:color="auto" w:sz="0" w:space="0"/>
                <w:lang w:val="en-US" w:eastAsia="zh-CN" w:bidi="ar"/>
              </w:rPr>
              <w:t>04</w:t>
            </w:r>
            <w:r>
              <w:rPr>
                <w:rFonts w:hint="eastAsia" w:ascii="黑体" w:hAnsi="宋体" w:eastAsia="黑体" w:cs="黑体"/>
                <w:color w:val="000000"/>
                <w:kern w:val="0"/>
                <w:sz w:val="16"/>
                <w:szCs w:val="16"/>
                <w:bdr w:val="none" w:color="auto" w:sz="0" w:space="0"/>
                <w:lang w:val="en-US" w:eastAsia="zh-CN" w:bidi="ar"/>
              </w:rPr>
              <w:t>光电功能材料</w:t>
            </w:r>
          </w:p>
        </w:tc>
        <w:tc>
          <w:tcPr>
            <w:tcW w:w="2360" w:type="dxa"/>
            <w:tcBorders>
              <w:top w:val="nil"/>
              <w:left w:val="nil"/>
              <w:bottom w:val="single" w:color="000000" w:sz="4" w:space="0"/>
              <w:right w:val="single" w:color="000000" w:sz="4"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center"/>
              <w:rPr>
                <w:sz w:val="28"/>
                <w:szCs w:val="28"/>
              </w:rPr>
            </w:pPr>
            <w:r>
              <w:rPr>
                <w:rFonts w:hint="eastAsia" w:ascii="黑体" w:hAnsi="宋体" w:eastAsia="黑体" w:cs="黑体"/>
                <w:color w:val="000000"/>
                <w:kern w:val="0"/>
                <w:sz w:val="16"/>
                <w:szCs w:val="16"/>
                <w:bdr w:val="none" w:color="auto" w:sz="0" w:space="0"/>
                <w:lang w:val="en-US" w:eastAsia="zh-CN" w:bidi="ar"/>
              </w:rPr>
              <w:t>陈院长：</w:t>
            </w:r>
            <w:r>
              <w:rPr>
                <w:rFonts w:hint="default" w:ascii="Times New Roman" w:hAnsi="Times New Roman" w:cs="Times New Roman" w:eastAsiaTheme="minorEastAsia"/>
                <w:color w:val="000000"/>
                <w:kern w:val="0"/>
                <w:sz w:val="16"/>
                <w:szCs w:val="16"/>
                <w:bdr w:val="none" w:color="auto" w:sz="0" w:space="0"/>
                <w:lang w:val="en-US" w:eastAsia="zh-CN" w:bidi="ar"/>
              </w:rPr>
              <w:t>13598692578</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0" w:afterAutospacing="0" w:line="336" w:lineRule="atLeast"/>
              <w:ind w:left="0" w:right="0" w:firstLine="0"/>
              <w:jc w:val="center"/>
              <w:rPr>
                <w:sz w:val="28"/>
                <w:szCs w:val="28"/>
              </w:rPr>
            </w:pPr>
            <w:r>
              <w:rPr>
                <w:rFonts w:hint="eastAsia" w:ascii="黑体" w:hAnsi="宋体" w:eastAsia="黑体" w:cs="黑体"/>
                <w:color w:val="000000"/>
                <w:kern w:val="0"/>
                <w:sz w:val="16"/>
                <w:szCs w:val="16"/>
                <w:bdr w:val="none" w:color="auto" w:sz="0" w:space="0"/>
                <w:lang w:val="en-US" w:eastAsia="zh-CN" w:bidi="ar"/>
              </w:rPr>
              <w:t>王老师：</w:t>
            </w:r>
            <w:r>
              <w:rPr>
                <w:rFonts w:hint="default" w:ascii="Times New Roman" w:hAnsi="Times New Roman" w:cs="Times New Roman" w:eastAsiaTheme="minorEastAsia"/>
                <w:color w:val="000000"/>
                <w:kern w:val="0"/>
                <w:sz w:val="16"/>
                <w:szCs w:val="16"/>
                <w:bdr w:val="none" w:color="auto" w:sz="0" w:space="0"/>
                <w:lang w:val="en-US" w:eastAsia="zh-CN" w:bidi="ar"/>
              </w:rPr>
              <w:t>13700736168</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13" w:lineRule="atLeast"/>
        <w:ind w:left="0" w:right="0" w:firstLine="42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说明：以上接收调剂的各专业具体缺额等信息请以网上调剂系统为准。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13" w:lineRule="atLeast"/>
        <w:ind w:left="0" w:right="0" w:firstLine="420"/>
        <w:jc w:val="left"/>
        <w:rPr>
          <w:sz w:val="28"/>
          <w:szCs w:val="28"/>
        </w:rPr>
      </w:pPr>
      <w:r>
        <w:rPr>
          <w:rFonts w:hint="eastAsia" w:ascii="黑体" w:hAnsi="宋体" w:eastAsia="黑体" w:cs="黑体"/>
          <w:b/>
          <w:i w:val="0"/>
          <w:caps w:val="0"/>
          <w:color w:val="000000"/>
          <w:spacing w:val="10"/>
          <w:kern w:val="0"/>
          <w:sz w:val="16"/>
          <w:szCs w:val="16"/>
          <w:bdr w:val="none" w:color="auto" w:sz="0" w:space="0"/>
          <w:shd w:val="clear" w:fill="FFFFFF"/>
          <w:lang w:val="en-US" w:eastAsia="zh-CN" w:bidi="ar"/>
        </w:rPr>
        <w:t>二、调剂基本条件与调剂原则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考生同时符合以下条件方可调剂：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1</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2</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）考生初试成绩符合第一志愿报考专业在</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A</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类地区的全国初试成绩基本要求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3</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）调入专业与第一志愿报考专业相同或相近，一般情况下，应在同一学科门类范围内（第一志愿报考专业代码前两位与调入专业代码前两位相同），由复试专家组从学科角度讨论决定是否接受调剂。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4</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）考生初试科目应与调入专业初试科目相同或相近，其中初试全国统一命题科目应与调入专业全国统一命题科目相同，业务科目（自命题科目）是否相近或相同必须得到学院复试专家组的认可。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left"/>
        <w:rPr>
          <w:sz w:val="28"/>
          <w:szCs w:val="28"/>
        </w:rPr>
      </w:pP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w:t>
      </w:r>
      <w:r>
        <w:rPr>
          <w:rFonts w:hint="default" w:ascii="Times New Roman" w:hAnsi="Times New Roman" w:eastAsia="宋体" w:cs="Times New Roman"/>
          <w:i w:val="0"/>
          <w:caps w:val="0"/>
          <w:color w:val="000000"/>
          <w:spacing w:val="10"/>
          <w:kern w:val="0"/>
          <w:sz w:val="16"/>
          <w:szCs w:val="16"/>
          <w:bdr w:val="none" w:color="auto" w:sz="0" w:space="0"/>
          <w:shd w:val="clear" w:fill="FFFFFF"/>
          <w:lang w:val="en-US" w:eastAsia="zh-CN" w:bidi="ar"/>
        </w:rPr>
        <w:t>5</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）所有调剂考生必须经过教育部指定的</w:t>
      </w:r>
      <w:r>
        <w:rPr>
          <w:rFonts w:hint="eastAsia" w:ascii="宋体" w:hAnsi="宋体" w:eastAsia="宋体" w:cs="宋体"/>
          <w:i w:val="0"/>
          <w:caps w:val="0"/>
          <w:color w:val="000000"/>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全国硕士生招生调剂服务系统</w:t>
      </w:r>
      <w:r>
        <w:rPr>
          <w:rFonts w:hint="eastAsia" w:ascii="宋体" w:hAnsi="宋体" w:eastAsia="宋体" w:cs="宋体"/>
          <w:i w:val="0"/>
          <w:caps w:val="0"/>
          <w:color w:val="000000"/>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000000"/>
          <w:spacing w:val="10"/>
          <w:kern w:val="0"/>
          <w:sz w:val="16"/>
          <w:szCs w:val="16"/>
          <w:bdr w:val="none" w:color="auto" w:sz="0" w:space="0"/>
          <w:shd w:val="clear" w:fill="FFFFFF"/>
          <w:lang w:val="en-US" w:eastAsia="zh-CN" w:bidi="ar"/>
        </w:rPr>
        <w:t>进行调剂，否则无效。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13" w:lineRule="atLeast"/>
        <w:ind w:left="0" w:right="0" w:firstLine="420"/>
        <w:jc w:val="left"/>
        <w:rPr>
          <w:sz w:val="28"/>
          <w:szCs w:val="28"/>
        </w:rPr>
      </w:pPr>
      <w:r>
        <w:rPr>
          <w:rFonts w:hint="eastAsia" w:ascii="黑体" w:hAnsi="宋体" w:eastAsia="黑体" w:cs="黑体"/>
          <w:b/>
          <w:i w:val="0"/>
          <w:caps w:val="0"/>
          <w:color w:val="000000"/>
          <w:spacing w:val="10"/>
          <w:kern w:val="0"/>
          <w:sz w:val="16"/>
          <w:szCs w:val="16"/>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both"/>
        <w:rPr>
          <w:sz w:val="28"/>
          <w:szCs w:val="28"/>
        </w:rPr>
      </w:pPr>
      <w:r>
        <w:rPr>
          <w:rFonts w:hint="default" w:ascii="Times New Roman" w:hAnsi="Times New Roman" w:eastAsia="宋体" w:cs="Times New Roman"/>
          <w:i w:val="0"/>
          <w:caps w:val="0"/>
          <w:color w:val="333333"/>
          <w:spacing w:val="10"/>
          <w:kern w:val="0"/>
          <w:sz w:val="16"/>
          <w:szCs w:val="16"/>
          <w:bdr w:val="none" w:color="auto" w:sz="0" w:space="0"/>
          <w:shd w:val="clear" w:fill="FFFFFF"/>
          <w:lang w:val="en-US" w:eastAsia="zh-CN" w:bidi="ar"/>
        </w:rPr>
        <w:t>1</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、调剂手续必须通过</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中国研究生招生信息网</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（以下简称研招网）的调剂系统办理。网址：</w:t>
      </w:r>
      <w:r>
        <w:rPr>
          <w:rFonts w:hint="default" w:ascii="Times New Roman" w:hAnsi="Times New Roman" w:eastAsia="宋体" w:cs="Times New Roman"/>
          <w:b/>
          <w:i w:val="0"/>
          <w:caps w:val="0"/>
          <w:color w:val="333333"/>
          <w:spacing w:val="0"/>
          <w:kern w:val="0"/>
          <w:sz w:val="16"/>
          <w:szCs w:val="16"/>
          <w:bdr w:val="none" w:color="auto" w:sz="0" w:space="0"/>
          <w:shd w:val="clear" w:fill="FFFFFF"/>
          <w:lang w:val="en-US" w:eastAsia="zh-CN" w:bidi="ar"/>
        </w:rPr>
        <w:t>http://yz.chsi.com.cn</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both"/>
        <w:rPr>
          <w:sz w:val="28"/>
          <w:szCs w:val="28"/>
        </w:rPr>
      </w:pPr>
      <w:r>
        <w:rPr>
          <w:rFonts w:hint="default" w:ascii="Times New Roman" w:hAnsi="Times New Roman" w:eastAsia="宋体" w:cs="Times New Roman"/>
          <w:i w:val="0"/>
          <w:caps w:val="0"/>
          <w:color w:val="333333"/>
          <w:spacing w:val="10"/>
          <w:kern w:val="0"/>
          <w:sz w:val="16"/>
          <w:szCs w:val="16"/>
          <w:bdr w:val="none" w:color="auto" w:sz="0" w:space="0"/>
          <w:shd w:val="clear" w:fill="FFFFFF"/>
          <w:lang w:val="en-US" w:eastAsia="zh-CN" w:bidi="ar"/>
        </w:rPr>
        <w:t>2</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、调剂考生凭网上报名时的用户名和密码登陆</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调剂服务系统</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，选择我校为调剂志愿单位。我校将通过该网站给通过审核符合我校复试要求的考生发送复试通知，请考生在规定时间内及时回复确认，否则视为放弃。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both"/>
        <w:rPr>
          <w:sz w:val="28"/>
          <w:szCs w:val="28"/>
        </w:rPr>
      </w:pP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特别提醒：只提交调剂申请邮件而没在</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研招网</w:t>
      </w:r>
      <w:r>
        <w:rPr>
          <w:rFonts w:hint="eastAsia" w:ascii="宋体" w:hAnsi="宋体" w:eastAsia="宋体" w:cs="宋体"/>
          <w:i w:val="0"/>
          <w:caps w:val="0"/>
          <w:color w:val="333333"/>
          <w:spacing w:val="10"/>
          <w:kern w:val="0"/>
          <w:sz w:val="16"/>
          <w:szCs w:val="16"/>
          <w:bdr w:val="none" w:color="auto" w:sz="0" w:space="0"/>
          <w:shd w:val="clear" w:fill="FFFFFF"/>
          <w:lang w:val="en-US" w:eastAsia="zh-CN" w:bidi="ar"/>
        </w:rPr>
        <w:t>”</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的调剂系统中填报调剂信息的，将无法参与调剂。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both"/>
        <w:rPr>
          <w:sz w:val="28"/>
          <w:szCs w:val="28"/>
        </w:rPr>
      </w:pP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有关我校</w:t>
      </w:r>
      <w:r>
        <w:rPr>
          <w:rFonts w:hint="default" w:ascii="Times New Roman" w:hAnsi="Times New Roman" w:eastAsia="宋体" w:cs="Times New Roman"/>
          <w:i w:val="0"/>
          <w:caps w:val="0"/>
          <w:color w:val="333333"/>
          <w:spacing w:val="10"/>
          <w:kern w:val="0"/>
          <w:sz w:val="16"/>
          <w:szCs w:val="16"/>
          <w:bdr w:val="none" w:color="auto" w:sz="0" w:space="0"/>
          <w:shd w:val="clear" w:fill="FFFFFF"/>
          <w:lang w:val="en-US" w:eastAsia="zh-CN" w:bidi="ar"/>
        </w:rPr>
        <w:t>202</w:t>
      </w:r>
      <w:r>
        <w:rPr>
          <w:rFonts w:hint="default" w:ascii="Times New Roman" w:hAnsi="Times New Roman" w:eastAsia="黑体" w:cs="Times New Roman"/>
          <w:i w:val="0"/>
          <w:caps w:val="0"/>
          <w:color w:val="333333"/>
          <w:spacing w:val="10"/>
          <w:kern w:val="0"/>
          <w:sz w:val="16"/>
          <w:szCs w:val="16"/>
          <w:bdr w:val="none" w:color="auto" w:sz="0" w:space="0"/>
          <w:shd w:val="clear" w:fill="FFFFFF"/>
          <w:lang w:val="en-US" w:eastAsia="zh-CN" w:bidi="ar"/>
        </w:rPr>
        <w:t>3</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年研究生招生调剂、复试工作的具体安排，将通过我校研究生院网站发布（网址：</w:t>
      </w:r>
      <w:r>
        <w:rPr>
          <w:rFonts w:hint="default" w:ascii="Times New Roman" w:hAnsi="Times New Roman" w:eastAsia="宋体" w:cs="Times New Roman"/>
          <w:b/>
          <w:i w:val="0"/>
          <w:caps w:val="0"/>
          <w:color w:val="333333"/>
          <w:spacing w:val="10"/>
          <w:kern w:val="0"/>
          <w:sz w:val="16"/>
          <w:szCs w:val="16"/>
          <w:bdr w:val="none" w:color="auto" w:sz="0" w:space="0"/>
          <w:shd w:val="clear" w:fill="FFFFFF"/>
          <w:lang w:val="en-US" w:eastAsia="zh-CN" w:bidi="ar"/>
        </w:rPr>
        <w:t>http</w:t>
      </w:r>
      <w:r>
        <w:rPr>
          <w:rFonts w:hint="default" w:ascii="Times New Roman" w:hAnsi="Times New Roman" w:eastAsia="黑体" w:cs="Times New Roman"/>
          <w:b/>
          <w:i w:val="0"/>
          <w:caps w:val="0"/>
          <w:color w:val="333333"/>
          <w:spacing w:val="10"/>
          <w:kern w:val="0"/>
          <w:sz w:val="16"/>
          <w:szCs w:val="16"/>
          <w:bdr w:val="none" w:color="auto" w:sz="0" w:space="0"/>
          <w:shd w:val="clear" w:fill="FFFFFF"/>
          <w:lang w:val="en-US" w:eastAsia="zh-CN" w:bidi="ar"/>
        </w:rPr>
        <w:t>s</w:t>
      </w:r>
      <w:r>
        <w:rPr>
          <w:rFonts w:hint="default" w:ascii="Times New Roman" w:hAnsi="Times New Roman" w:eastAsia="宋体" w:cs="Times New Roman"/>
          <w:b/>
          <w:i w:val="0"/>
          <w:caps w:val="0"/>
          <w:color w:val="333333"/>
          <w:spacing w:val="10"/>
          <w:kern w:val="0"/>
          <w:sz w:val="16"/>
          <w:szCs w:val="16"/>
          <w:bdr w:val="none" w:color="auto" w:sz="0" w:space="0"/>
          <w:shd w:val="clear" w:fill="FFFFFF"/>
          <w:lang w:val="en-US" w:eastAsia="zh-CN" w:bidi="ar"/>
        </w:rPr>
        <w:t>://yjsc.hist.edu.cn/</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），调剂期间保持手机畅通。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60" w:beforeAutospacing="0" w:after="60" w:afterAutospacing="0" w:line="213" w:lineRule="atLeast"/>
        <w:ind w:left="0" w:right="0" w:firstLine="420"/>
        <w:jc w:val="left"/>
        <w:rPr>
          <w:sz w:val="28"/>
          <w:szCs w:val="28"/>
        </w:rPr>
      </w:pPr>
      <w:r>
        <w:rPr>
          <w:rFonts w:hint="eastAsia" w:ascii="黑体" w:hAnsi="宋体" w:eastAsia="黑体" w:cs="黑体"/>
          <w:b/>
          <w:i w:val="0"/>
          <w:caps w:val="0"/>
          <w:color w:val="000000"/>
          <w:spacing w:val="10"/>
          <w:kern w:val="0"/>
          <w:sz w:val="16"/>
          <w:szCs w:val="16"/>
          <w:bdr w:val="none" w:color="auto" w:sz="0" w:space="0"/>
          <w:shd w:val="clear" w:fill="FFFFFF"/>
          <w:lang w:val="en-US" w:eastAsia="zh-CN" w:bidi="ar"/>
        </w:rPr>
        <w:t>四、其他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0" w:afterAutospacing="0" w:line="213" w:lineRule="atLeast"/>
        <w:ind w:left="0" w:right="0" w:firstLine="340"/>
        <w:jc w:val="both"/>
        <w:rPr>
          <w:sz w:val="28"/>
          <w:szCs w:val="28"/>
        </w:rPr>
      </w:pPr>
      <w:r>
        <w:rPr>
          <w:rFonts w:hint="default" w:ascii="Times New Roman" w:hAnsi="Times New Roman" w:eastAsia="宋体" w:cs="Times New Roman"/>
          <w:i w:val="0"/>
          <w:caps w:val="0"/>
          <w:color w:val="333333"/>
          <w:spacing w:val="10"/>
          <w:kern w:val="0"/>
          <w:sz w:val="16"/>
          <w:szCs w:val="16"/>
          <w:bdr w:val="none" w:color="auto" w:sz="0" w:space="0"/>
          <w:shd w:val="clear" w:fill="FFFFFF"/>
          <w:lang w:val="en-US" w:eastAsia="zh-CN" w:bidi="ar"/>
        </w:rPr>
        <w:t>1</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、以上信息若与教育部规定有不同之处，按教育部有关规定执行。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130" w:afterAutospacing="0" w:line="336" w:lineRule="atLeast"/>
        <w:ind w:left="0" w:right="0" w:firstLine="420"/>
        <w:jc w:val="left"/>
        <w:rPr>
          <w:sz w:val="28"/>
          <w:szCs w:val="28"/>
        </w:rPr>
      </w:pPr>
      <w:r>
        <w:rPr>
          <w:rFonts w:hint="default" w:ascii="Times New Roman" w:hAnsi="Times New Roman" w:eastAsia="宋体" w:cs="Times New Roman"/>
          <w:i w:val="0"/>
          <w:caps w:val="0"/>
          <w:color w:val="333333"/>
          <w:spacing w:val="10"/>
          <w:kern w:val="0"/>
          <w:sz w:val="16"/>
          <w:szCs w:val="16"/>
          <w:bdr w:val="none" w:color="auto" w:sz="0" w:space="0"/>
          <w:shd w:val="clear" w:fill="FFFFFF"/>
          <w:lang w:val="en-US" w:eastAsia="zh-CN" w:bidi="ar"/>
        </w:rPr>
        <w:t>2</w:t>
      </w:r>
      <w:r>
        <w:rPr>
          <w:rFonts w:hint="eastAsia" w:ascii="黑体" w:hAnsi="宋体" w:eastAsia="黑体" w:cs="黑体"/>
          <w:i w:val="0"/>
          <w:caps w:val="0"/>
          <w:color w:val="333333"/>
          <w:spacing w:val="10"/>
          <w:kern w:val="0"/>
          <w:sz w:val="16"/>
          <w:szCs w:val="16"/>
          <w:bdr w:val="none" w:color="auto" w:sz="0" w:space="0"/>
          <w:shd w:val="clear" w:fill="FFFFFF"/>
          <w:lang w:val="en-US" w:eastAsia="zh-CN" w:bidi="ar"/>
        </w:rPr>
        <w:t>、详细调剂信息以我校研招网调剂系统开通后公布的信息为准。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D0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2023-05-19T06:45:19Z</dcterms:created>
  <dc:creator>86188</dc:creator>
  <cp:lastModifiedBy>随风而动</cp:lastModifiedBy>
  <dcterms:modified xsi:type="dcterms:W3CDTF">2023-05-19T06:45:20Z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