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ind w:left="0" w:right="0" w:firstLine="590"/>
        <w:jc w:val="center"/>
        <w:rPr>
          <w:rFonts w:ascii="Calibri" w:hAnsi="Calibri" w:cs="Calibri"/>
          <w:i w:val="0"/>
          <w:caps w:val="0"/>
          <w:color w:val="000000"/>
          <w:spacing w:val="0"/>
          <w:sz w:val="21"/>
          <w:szCs w:val="21"/>
        </w:rPr>
      </w:pPr>
      <w:r>
        <w:rPr>
          <w:rStyle w:val="5"/>
          <w:rFonts w:ascii="fangsong_gb2312" w:hAnsi="fangsong_gb2312" w:eastAsia="fangsong_gb2312" w:cs="fangsong_gb2312"/>
          <w:i w:val="0"/>
          <w:caps w:val="0"/>
          <w:color w:val="000000"/>
          <w:spacing w:val="0"/>
          <w:kern w:val="0"/>
          <w:sz w:val="29"/>
          <w:szCs w:val="29"/>
          <w:bdr w:val="none" w:color="auto" w:sz="0" w:space="0"/>
          <w:shd w:val="clear" w:fill="F4F4F4"/>
          <w:lang w:val="en-US" w:eastAsia="zh-CN" w:bidi="ar"/>
        </w:rPr>
        <w:t>生命科技学院</w:t>
      </w:r>
      <w:r>
        <w:rPr>
          <w:rStyle w:val="5"/>
          <w:rFonts w:hint="default" w:ascii="fangsong_gb2312" w:hAnsi="fangsong_gb2312" w:eastAsia="fangsong_gb2312" w:cs="fangsong_gb2312"/>
          <w:i w:val="0"/>
          <w:caps w:val="0"/>
          <w:color w:val="000000"/>
          <w:spacing w:val="0"/>
          <w:kern w:val="0"/>
          <w:sz w:val="29"/>
          <w:szCs w:val="29"/>
          <w:bdr w:val="none" w:color="auto" w:sz="0" w:space="0"/>
          <w:shd w:val="clear" w:fill="F4F4F4"/>
          <w:lang w:val="en-US" w:eastAsia="zh-CN" w:bidi="ar"/>
        </w:rPr>
        <w:t>2023年硕士研究生招生复试录取工作方案（调剂）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ind w:left="0" w:right="0" w:firstLine="370"/>
        <w:jc w:val="both"/>
        <w:rPr>
          <w:rFonts w:hint="default" w:ascii="Calibri" w:hAnsi="Calibri" w:cs="Calibri"/>
          <w:i w:val="0"/>
          <w:caps w:val="0"/>
          <w:color w:val="000000"/>
          <w:spacing w:val="0"/>
          <w:sz w:val="21"/>
          <w:szCs w:val="21"/>
        </w:rPr>
      </w:pPr>
      <w:r>
        <w:rPr>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按照《河南科技学院2023年硕士研究生招生复试录取工作方案》文件要求，结合我院专业的实际情况，特制定本学院硕士研究生复试录取工作细则如下：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ind w:left="400" w:right="0" w:hanging="40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sz w:val="19"/>
          <w:szCs w:val="19"/>
          <w:bdr w:val="none" w:color="auto" w:sz="0" w:space="0"/>
          <w:shd w:val="clear" w:fill="F4F4F4"/>
          <w:lang w:val="en-US"/>
        </w:rPr>
        <w:t>一、</w:t>
      </w:r>
      <w:r>
        <w:rPr>
          <w:rStyle w:val="5"/>
          <w:rFonts w:ascii="Times New Roman" w:hAnsi="Times New Roman" w:eastAsia="fangsong_gb2312" w:cs="Times New Roman"/>
          <w:i w:val="0"/>
          <w:caps w:val="0"/>
          <w:color w:val="000000"/>
          <w:spacing w:val="0"/>
          <w:sz w:val="9"/>
          <w:szCs w:val="9"/>
          <w:bdr w:val="none" w:color="auto" w:sz="0" w:space="0"/>
          <w:shd w:val="clear" w:fill="F4F4F4"/>
          <w:lang w:val="en-US"/>
        </w:rPr>
        <w:t> </w:t>
      </w:r>
      <w:r>
        <w:rPr>
          <w:rStyle w:val="5"/>
          <w:rFonts w:hint="default" w:ascii="Times New Roman" w:hAnsi="Times New Roman" w:eastAsia="fangsong_gb2312" w:cs="Times New Roman"/>
          <w:i w:val="0"/>
          <w:caps w:val="0"/>
          <w:color w:val="000000"/>
          <w:spacing w:val="0"/>
          <w:sz w:val="9"/>
          <w:szCs w:val="9"/>
          <w:bdr w:val="none" w:color="auto" w:sz="0" w:space="0"/>
          <w:shd w:val="clear" w:fill="F4F4F4"/>
          <w:lang w:val="en-US"/>
        </w:rPr>
        <w:t>  </w:t>
      </w:r>
      <w:r>
        <w:rPr>
          <w:rStyle w:val="5"/>
          <w:rFonts w:hint="default" w:ascii="fangsong_gb2312" w:hAnsi="fangsong_gb2312" w:eastAsia="fangsong_gb2312" w:cs="fangsong_gb2312"/>
          <w:i w:val="0"/>
          <w:caps w:val="0"/>
          <w:color w:val="000000"/>
          <w:spacing w:val="0"/>
          <w:sz w:val="19"/>
          <w:szCs w:val="19"/>
          <w:bdr w:val="none" w:color="auto" w:sz="0" w:space="0"/>
          <w:shd w:val="clear" w:fill="F4F4F4"/>
        </w:rPr>
        <w:t>调剂指标</w:t>
      </w:r>
    </w:p>
    <w:tbl>
      <w:tblPr>
        <w:tblW w:w="569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42"/>
        <w:gridCol w:w="1103"/>
        <w:gridCol w:w="987"/>
        <w:gridCol w:w="185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1500" w:type="pc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default" w:ascii="Calibri" w:hAnsi="Calibri" w:cs="Calibri"/>
                <w:sz w:val="21"/>
                <w:szCs w:val="21"/>
              </w:rPr>
            </w:pPr>
            <w:r>
              <w:rPr>
                <w:rStyle w:val="5"/>
                <w:rFonts w:hint="default" w:ascii="fangsong_gb2312" w:hAnsi="fangsong_gb2312" w:eastAsia="fangsong_gb2312" w:cs="fangsong_gb2312"/>
                <w:color w:val="000000"/>
                <w:kern w:val="0"/>
                <w:sz w:val="14"/>
                <w:szCs w:val="14"/>
                <w:bdr w:val="none" w:color="auto" w:sz="0" w:space="0"/>
                <w:lang w:val="en-US" w:eastAsia="zh-CN" w:bidi="ar"/>
              </w:rPr>
              <w:t>学科专业代码</w:t>
            </w:r>
          </w:p>
        </w:tc>
        <w:tc>
          <w:tcPr>
            <w:tcW w:w="950" w:type="pct"/>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default" w:ascii="Calibri" w:hAnsi="Calibri" w:cs="Calibri"/>
                <w:sz w:val="21"/>
                <w:szCs w:val="21"/>
              </w:rPr>
            </w:pPr>
            <w:r>
              <w:rPr>
                <w:rStyle w:val="5"/>
                <w:rFonts w:hint="default" w:ascii="fangsong_gb2312" w:hAnsi="fangsong_gb2312" w:eastAsia="fangsong_gb2312" w:cs="fangsong_gb2312"/>
                <w:color w:val="000000"/>
                <w:kern w:val="0"/>
                <w:sz w:val="14"/>
                <w:szCs w:val="14"/>
                <w:bdr w:val="none" w:color="auto" w:sz="0" w:space="0"/>
                <w:lang w:val="en-US" w:eastAsia="zh-CN" w:bidi="ar"/>
              </w:rPr>
              <w:t>学科专业名称</w:t>
            </w:r>
          </w:p>
        </w:tc>
        <w:tc>
          <w:tcPr>
            <w:tcW w:w="850" w:type="pct"/>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default" w:ascii="Calibri" w:hAnsi="Calibri" w:cs="Calibri"/>
                <w:sz w:val="21"/>
                <w:szCs w:val="21"/>
              </w:rPr>
            </w:pPr>
            <w:r>
              <w:rPr>
                <w:rStyle w:val="5"/>
                <w:rFonts w:hint="default" w:ascii="fangsong_gb2312" w:hAnsi="fangsong_gb2312" w:eastAsia="fangsong_gb2312" w:cs="fangsong_gb2312"/>
                <w:color w:val="000000"/>
                <w:kern w:val="0"/>
                <w:sz w:val="14"/>
                <w:szCs w:val="14"/>
                <w:bdr w:val="none" w:color="auto" w:sz="0" w:space="0"/>
                <w:lang w:val="en-US" w:eastAsia="zh-CN" w:bidi="ar"/>
              </w:rPr>
              <w:t>学习方式</w:t>
            </w:r>
          </w:p>
        </w:tc>
        <w:tc>
          <w:tcPr>
            <w:tcW w:w="1600" w:type="pct"/>
            <w:tcBorders>
              <w:top w:val="single" w:color="auto" w:sz="4" w:space="0"/>
              <w:left w:val="nil"/>
              <w:bottom w:val="single" w:color="auto" w:sz="4" w:space="0"/>
              <w:right w:val="single" w:color="auto"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default" w:ascii="Calibri" w:hAnsi="Calibri" w:cs="Calibri"/>
                <w:sz w:val="21"/>
                <w:szCs w:val="21"/>
              </w:rPr>
            </w:pPr>
            <w:r>
              <w:rPr>
                <w:rStyle w:val="5"/>
                <w:rFonts w:hint="default" w:ascii="fangsong_gb2312" w:hAnsi="fangsong_gb2312" w:eastAsia="fangsong_gb2312" w:cs="fangsong_gb2312"/>
                <w:color w:val="000000"/>
                <w:kern w:val="0"/>
                <w:sz w:val="14"/>
                <w:szCs w:val="14"/>
                <w:bdr w:val="none" w:color="auto" w:sz="0" w:space="0"/>
                <w:lang w:val="en-US" w:eastAsia="zh-CN" w:bidi="ar"/>
              </w:rPr>
              <w:t>调剂指标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11" w:hRule="atLeast"/>
          <w:jc w:val="center"/>
        </w:trPr>
        <w:tc>
          <w:tcPr>
            <w:tcW w:w="1500" w:type="pct"/>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ascii="仿宋" w:hAnsi="仿宋" w:eastAsia="仿宋" w:cs="仿宋"/>
                <w:color w:val="000000"/>
                <w:kern w:val="0"/>
                <w:sz w:val="14"/>
                <w:szCs w:val="14"/>
                <w:bdr w:val="none" w:color="auto" w:sz="0" w:space="0"/>
                <w:lang w:val="en-US" w:eastAsia="zh-CN" w:bidi="ar"/>
              </w:rPr>
              <w:t>090100</w:t>
            </w:r>
          </w:p>
        </w:tc>
        <w:tc>
          <w:tcPr>
            <w:tcW w:w="9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作物学</w:t>
            </w:r>
          </w:p>
        </w:tc>
        <w:tc>
          <w:tcPr>
            <w:tcW w:w="8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全日制</w:t>
            </w:r>
          </w:p>
        </w:tc>
        <w:tc>
          <w:tcPr>
            <w:tcW w:w="160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10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30" w:hRule="atLeast"/>
          <w:jc w:val="center"/>
        </w:trPr>
        <w:tc>
          <w:tcPr>
            <w:tcW w:w="1500" w:type="pct"/>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071000</w:t>
            </w:r>
          </w:p>
        </w:tc>
        <w:tc>
          <w:tcPr>
            <w:tcW w:w="9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生物学</w:t>
            </w:r>
          </w:p>
        </w:tc>
        <w:tc>
          <w:tcPr>
            <w:tcW w:w="8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全日制</w:t>
            </w:r>
          </w:p>
        </w:tc>
        <w:tc>
          <w:tcPr>
            <w:tcW w:w="160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11" w:hRule="atLeast"/>
          <w:jc w:val="center"/>
        </w:trPr>
        <w:tc>
          <w:tcPr>
            <w:tcW w:w="1500" w:type="pct"/>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095131</w:t>
            </w:r>
          </w:p>
        </w:tc>
        <w:tc>
          <w:tcPr>
            <w:tcW w:w="9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农艺与种业</w:t>
            </w:r>
          </w:p>
        </w:tc>
        <w:tc>
          <w:tcPr>
            <w:tcW w:w="8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非全日制</w:t>
            </w:r>
          </w:p>
        </w:tc>
        <w:tc>
          <w:tcPr>
            <w:tcW w:w="160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11" w:hRule="atLeast"/>
          <w:jc w:val="center"/>
        </w:trPr>
        <w:tc>
          <w:tcPr>
            <w:tcW w:w="1500" w:type="pct"/>
            <w:tcBorders>
              <w:top w:val="nil"/>
              <w:left w:val="single" w:color="auto" w:sz="4" w:space="0"/>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045107</w:t>
            </w:r>
          </w:p>
        </w:tc>
        <w:tc>
          <w:tcPr>
            <w:tcW w:w="9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学科教学（生物）</w:t>
            </w:r>
          </w:p>
        </w:tc>
        <w:tc>
          <w:tcPr>
            <w:tcW w:w="85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全日制</w:t>
            </w:r>
          </w:p>
        </w:tc>
        <w:tc>
          <w:tcPr>
            <w:tcW w:w="1600" w:type="pct"/>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仿宋" w:hAnsi="仿宋" w:eastAsia="仿宋" w:cs="仿宋"/>
                <w:color w:val="000000"/>
                <w:kern w:val="0"/>
                <w:sz w:val="14"/>
                <w:szCs w:val="14"/>
                <w:bdr w:val="none" w:color="auto" w:sz="0" w:space="0"/>
                <w:lang w:val="en-US" w:eastAsia="zh-CN" w:bidi="ar"/>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ind w:left="400" w:right="0" w:hanging="40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sz w:val="19"/>
          <w:szCs w:val="19"/>
          <w:bdr w:val="none" w:color="auto" w:sz="0" w:space="0"/>
          <w:shd w:val="clear" w:fill="F4F4F4"/>
          <w:lang w:val="en-US"/>
        </w:rPr>
        <w:t>二、</w:t>
      </w:r>
      <w:r>
        <w:rPr>
          <w:rStyle w:val="5"/>
          <w:rFonts w:hint="default" w:ascii="Times New Roman" w:hAnsi="Times New Roman" w:eastAsia="fangsong_gb2312" w:cs="Times New Roman"/>
          <w:i w:val="0"/>
          <w:caps w:val="0"/>
          <w:color w:val="000000"/>
          <w:spacing w:val="0"/>
          <w:sz w:val="9"/>
          <w:szCs w:val="9"/>
          <w:bdr w:val="none" w:color="auto" w:sz="0" w:space="0"/>
          <w:shd w:val="clear" w:fill="F4F4F4"/>
          <w:lang w:val="en-US"/>
        </w:rPr>
        <w:t>   </w:t>
      </w:r>
      <w:r>
        <w:rPr>
          <w:rStyle w:val="5"/>
          <w:rFonts w:hint="default" w:ascii="fangsong_gb2312" w:hAnsi="fangsong_gb2312" w:eastAsia="fangsong_gb2312" w:cs="fangsong_gb2312"/>
          <w:i w:val="0"/>
          <w:caps w:val="0"/>
          <w:color w:val="000000"/>
          <w:spacing w:val="0"/>
          <w:sz w:val="19"/>
          <w:szCs w:val="19"/>
          <w:bdr w:val="none" w:color="auto" w:sz="0" w:space="0"/>
          <w:shd w:val="clear" w:fill="F4F4F4"/>
        </w:rPr>
        <w:t>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both"/>
        <w:rPr>
          <w:rFonts w:hint="default" w:ascii="Calibri" w:hAnsi="Calibri" w:cs="Calibri"/>
          <w:i w:val="0"/>
          <w:caps w:val="0"/>
          <w:color w:val="000000"/>
          <w:spacing w:val="0"/>
          <w:sz w:val="21"/>
          <w:szCs w:val="21"/>
        </w:rPr>
      </w:pPr>
      <w:r>
        <w:rPr>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学校按学科门类（专业、领域）划定复试分数线。考生初试成绩不低于我校复试分数线即为合格生源，只有合格生源才能进入复试。</w:t>
      </w:r>
    </w:p>
    <w:tbl>
      <w:tblPr>
        <w:tblW w:w="4830" w:type="dxa"/>
        <w:jc w:val="center"/>
        <w:shd w:val="clear"/>
        <w:tblLayout w:type="autofit"/>
        <w:tblCellMar>
          <w:top w:w="0" w:type="dxa"/>
          <w:left w:w="0" w:type="dxa"/>
          <w:bottom w:w="0" w:type="dxa"/>
          <w:right w:w="0" w:type="dxa"/>
        </w:tblCellMar>
      </w:tblPr>
      <w:tblGrid>
        <w:gridCol w:w="590"/>
        <w:gridCol w:w="2270"/>
        <w:gridCol w:w="570"/>
        <w:gridCol w:w="680"/>
        <w:gridCol w:w="720"/>
      </w:tblGrid>
      <w:tr>
        <w:tblPrEx>
          <w:tblCellMar>
            <w:top w:w="0" w:type="dxa"/>
            <w:left w:w="0" w:type="dxa"/>
            <w:bottom w:w="0" w:type="dxa"/>
            <w:right w:w="0" w:type="dxa"/>
          </w:tblCellMar>
        </w:tblPrEx>
        <w:trPr>
          <w:trHeight w:val="291" w:hRule="atLeast"/>
          <w:jc w:val="center"/>
        </w:trPr>
        <w:tc>
          <w:tcPr>
            <w:tcW w:w="1350" w:type="dxa"/>
            <w:vMerge w:val="restart"/>
            <w:tcBorders>
              <w:top w:val="single" w:color="000000" w:sz="4" w:space="0"/>
              <w:left w:val="single" w:color="000000" w:sz="4" w:space="0"/>
              <w:bottom w:val="single" w:color="000000" w:sz="4" w:space="0"/>
              <w:right w:val="single" w:color="000000"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学位类别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专项计划</w:t>
            </w:r>
          </w:p>
        </w:tc>
        <w:tc>
          <w:tcPr>
            <w:tcW w:w="2270" w:type="dxa"/>
            <w:vMerge w:val="restart"/>
            <w:tcBorders>
              <w:top w:val="single" w:color="auto" w:sz="4" w:space="0"/>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学科门类名称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专业学位类别名称</w:t>
            </w:r>
          </w:p>
        </w:tc>
        <w:tc>
          <w:tcPr>
            <w:tcW w:w="1960" w:type="dxa"/>
            <w:gridSpan w:val="3"/>
            <w:tcBorders>
              <w:top w:val="single" w:color="auto" w:sz="4" w:space="0"/>
              <w:left w:val="nil"/>
              <w:bottom w:val="single" w:color="auto" w:sz="4" w:space="0"/>
              <w:right w:val="single" w:color="auto"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A类考生</w:t>
            </w:r>
          </w:p>
        </w:tc>
      </w:tr>
      <w:tr>
        <w:tblPrEx>
          <w:tblCellMar>
            <w:top w:w="0" w:type="dxa"/>
            <w:left w:w="0" w:type="dxa"/>
            <w:bottom w:w="0" w:type="dxa"/>
            <w:right w:w="0" w:type="dxa"/>
          </w:tblCellMar>
        </w:tblPrEx>
        <w:trPr>
          <w:trHeight w:val="410" w:hRule="atLeast"/>
          <w:jc w:val="center"/>
        </w:trPr>
        <w:tc>
          <w:tcPr>
            <w:tcW w:w="1350" w:type="dxa"/>
            <w:vMerge w:val="continue"/>
            <w:tcBorders>
              <w:top w:val="single" w:color="000000" w:sz="4" w:space="0"/>
              <w:left w:val="single" w:color="000000" w:sz="4" w:space="0"/>
              <w:bottom w:val="single" w:color="000000" w:sz="4" w:space="0"/>
              <w:right w:val="single" w:color="000000" w:sz="4" w:space="0"/>
            </w:tcBorders>
            <w:shd w:val="clear"/>
            <w:tcMar>
              <w:left w:w="20" w:type="dxa"/>
              <w:right w:w="20" w:type="dxa"/>
            </w:tcMar>
            <w:vAlign w:val="center"/>
          </w:tcPr>
          <w:p>
            <w:pPr>
              <w:rPr>
                <w:rFonts w:hint="eastAsia" w:ascii="宋体"/>
                <w:sz w:val="24"/>
                <w:szCs w:val="24"/>
              </w:rPr>
            </w:pPr>
          </w:p>
        </w:tc>
        <w:tc>
          <w:tcPr>
            <w:tcW w:w="2270" w:type="dxa"/>
            <w:vMerge w:val="continue"/>
            <w:tcBorders>
              <w:top w:val="single" w:color="auto" w:sz="4" w:space="0"/>
              <w:left w:val="nil"/>
              <w:bottom w:val="single" w:color="auto" w:sz="4" w:space="0"/>
              <w:right w:val="single" w:color="auto" w:sz="4" w:space="0"/>
            </w:tcBorders>
            <w:shd w:val="clear"/>
            <w:noWrap/>
            <w:tcMar>
              <w:left w:w="20" w:type="dxa"/>
              <w:right w:w="20" w:type="dxa"/>
            </w:tcMar>
            <w:vAlign w:val="center"/>
          </w:tcPr>
          <w:p>
            <w:pPr>
              <w:rPr>
                <w:rFonts w:hint="eastAsia" w:ascii="宋体"/>
                <w:sz w:val="24"/>
                <w:szCs w:val="24"/>
              </w:rPr>
            </w:pPr>
          </w:p>
        </w:tc>
        <w:tc>
          <w:tcPr>
            <w:tcW w:w="570" w:type="dxa"/>
            <w:tcBorders>
              <w:top w:val="nil"/>
              <w:left w:val="nil"/>
              <w:bottom w:val="single" w:color="auto" w:sz="4" w:space="0"/>
              <w:right w:val="single" w:color="auto"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总分</w:t>
            </w:r>
          </w:p>
        </w:tc>
        <w:tc>
          <w:tcPr>
            <w:tcW w:w="680" w:type="dxa"/>
            <w:tcBorders>
              <w:top w:val="nil"/>
              <w:left w:val="nil"/>
              <w:bottom w:val="single" w:color="auto" w:sz="4" w:space="0"/>
              <w:right w:val="single" w:color="auto"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单科（满分=100分）</w:t>
            </w:r>
          </w:p>
        </w:tc>
        <w:tc>
          <w:tcPr>
            <w:tcW w:w="720" w:type="dxa"/>
            <w:tcBorders>
              <w:top w:val="nil"/>
              <w:left w:val="nil"/>
              <w:bottom w:val="single" w:color="auto" w:sz="4" w:space="0"/>
              <w:right w:val="single" w:color="auto"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Style w:val="5"/>
                <w:rFonts w:hint="eastAsia" w:ascii="仿宋" w:hAnsi="仿宋" w:eastAsia="仿宋" w:cs="仿宋"/>
                <w:kern w:val="0"/>
                <w:sz w:val="14"/>
                <w:szCs w:val="14"/>
                <w:bdr w:val="none" w:color="auto" w:sz="0" w:space="0"/>
                <w:lang w:val="en-US" w:eastAsia="zh-CN" w:bidi="ar"/>
              </w:rPr>
              <w:t>单科（满分&gt;100分）</w:t>
            </w:r>
          </w:p>
        </w:tc>
      </w:tr>
      <w:tr>
        <w:tblPrEx>
          <w:shd w:val="clear"/>
          <w:tblCellMar>
            <w:top w:w="0" w:type="dxa"/>
            <w:left w:w="0" w:type="dxa"/>
            <w:bottom w:w="0" w:type="dxa"/>
            <w:right w:w="0" w:type="dxa"/>
          </w:tblCellMar>
        </w:tblPrEx>
        <w:trPr>
          <w:trHeight w:val="231" w:hRule="atLeast"/>
          <w:jc w:val="center"/>
        </w:trPr>
        <w:tc>
          <w:tcPr>
            <w:tcW w:w="1350" w:type="dxa"/>
            <w:vMerge w:val="restart"/>
            <w:tcBorders>
              <w:top w:val="nil"/>
              <w:left w:val="single" w:color="auto" w:sz="4" w:space="0"/>
              <w:bottom w:val="nil"/>
              <w:right w:val="single" w:color="auto"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学术学位</w:t>
            </w:r>
          </w:p>
        </w:tc>
        <w:tc>
          <w:tcPr>
            <w:tcW w:w="22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理学</w:t>
            </w:r>
          </w:p>
        </w:tc>
        <w:tc>
          <w:tcPr>
            <w:tcW w:w="5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279</w:t>
            </w:r>
          </w:p>
        </w:tc>
        <w:tc>
          <w:tcPr>
            <w:tcW w:w="68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38</w:t>
            </w:r>
          </w:p>
        </w:tc>
        <w:tc>
          <w:tcPr>
            <w:tcW w:w="72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57</w:t>
            </w:r>
          </w:p>
        </w:tc>
      </w:tr>
      <w:tr>
        <w:tblPrEx>
          <w:tblCellMar>
            <w:top w:w="0" w:type="dxa"/>
            <w:left w:w="0" w:type="dxa"/>
            <w:bottom w:w="0" w:type="dxa"/>
            <w:right w:w="0" w:type="dxa"/>
          </w:tblCellMar>
        </w:tblPrEx>
        <w:trPr>
          <w:trHeight w:val="231" w:hRule="atLeast"/>
          <w:jc w:val="center"/>
        </w:trPr>
        <w:tc>
          <w:tcPr>
            <w:tcW w:w="1350" w:type="dxa"/>
            <w:vMerge w:val="continue"/>
            <w:tcBorders>
              <w:top w:val="nil"/>
              <w:left w:val="single" w:color="auto" w:sz="4" w:space="0"/>
              <w:bottom w:val="nil"/>
              <w:right w:val="single" w:color="auto" w:sz="4" w:space="0"/>
            </w:tcBorders>
            <w:shd w:val="clear"/>
            <w:tcMar>
              <w:left w:w="20" w:type="dxa"/>
              <w:right w:w="20" w:type="dxa"/>
            </w:tcMar>
            <w:vAlign w:val="center"/>
          </w:tcPr>
          <w:p>
            <w:pPr>
              <w:rPr>
                <w:rFonts w:hint="eastAsia" w:ascii="宋体"/>
                <w:sz w:val="24"/>
                <w:szCs w:val="24"/>
              </w:rPr>
            </w:pPr>
          </w:p>
        </w:tc>
        <w:tc>
          <w:tcPr>
            <w:tcW w:w="22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农学</w:t>
            </w:r>
          </w:p>
        </w:tc>
        <w:tc>
          <w:tcPr>
            <w:tcW w:w="5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251</w:t>
            </w:r>
          </w:p>
        </w:tc>
        <w:tc>
          <w:tcPr>
            <w:tcW w:w="68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33</w:t>
            </w:r>
          </w:p>
        </w:tc>
        <w:tc>
          <w:tcPr>
            <w:tcW w:w="72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50</w:t>
            </w:r>
          </w:p>
        </w:tc>
      </w:tr>
      <w:tr>
        <w:tblPrEx>
          <w:tblCellMar>
            <w:top w:w="0" w:type="dxa"/>
            <w:left w:w="0" w:type="dxa"/>
            <w:bottom w:w="0" w:type="dxa"/>
            <w:right w:w="0" w:type="dxa"/>
          </w:tblCellMar>
        </w:tblPrEx>
        <w:trPr>
          <w:trHeight w:val="231" w:hRule="atLeast"/>
          <w:jc w:val="center"/>
        </w:trPr>
        <w:tc>
          <w:tcPr>
            <w:tcW w:w="1350" w:type="dxa"/>
            <w:vMerge w:val="restart"/>
            <w:tcBorders>
              <w:top w:val="single" w:color="000000" w:sz="4" w:space="0"/>
              <w:left w:val="single" w:color="000000" w:sz="4" w:space="0"/>
              <w:bottom w:val="single" w:color="000000" w:sz="4" w:space="0"/>
              <w:right w:val="single" w:color="000000" w:sz="4" w:space="0"/>
            </w:tcBorders>
            <w:shd w:val="clear"/>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专业学位</w:t>
            </w:r>
          </w:p>
        </w:tc>
        <w:tc>
          <w:tcPr>
            <w:tcW w:w="22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教育硕士</w:t>
            </w:r>
          </w:p>
        </w:tc>
        <w:tc>
          <w:tcPr>
            <w:tcW w:w="5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350</w:t>
            </w:r>
          </w:p>
        </w:tc>
        <w:tc>
          <w:tcPr>
            <w:tcW w:w="68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51</w:t>
            </w:r>
          </w:p>
        </w:tc>
        <w:tc>
          <w:tcPr>
            <w:tcW w:w="72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77</w:t>
            </w:r>
          </w:p>
        </w:tc>
      </w:tr>
      <w:tr>
        <w:tblPrEx>
          <w:shd w:val="clear"/>
          <w:tblCellMar>
            <w:top w:w="0" w:type="dxa"/>
            <w:left w:w="0" w:type="dxa"/>
            <w:bottom w:w="0" w:type="dxa"/>
            <w:right w:w="0" w:type="dxa"/>
          </w:tblCellMar>
        </w:tblPrEx>
        <w:trPr>
          <w:trHeight w:val="231" w:hRule="atLeast"/>
          <w:jc w:val="center"/>
        </w:trPr>
        <w:tc>
          <w:tcPr>
            <w:tcW w:w="1350" w:type="dxa"/>
            <w:vMerge w:val="continue"/>
            <w:tcBorders>
              <w:top w:val="single" w:color="000000" w:sz="4" w:space="0"/>
              <w:left w:val="single" w:color="000000" w:sz="4" w:space="0"/>
              <w:bottom w:val="single" w:color="000000" w:sz="4" w:space="0"/>
              <w:right w:val="single" w:color="000000" w:sz="4" w:space="0"/>
            </w:tcBorders>
            <w:shd w:val="clear"/>
            <w:tcMar>
              <w:left w:w="20" w:type="dxa"/>
              <w:right w:w="20" w:type="dxa"/>
            </w:tcMar>
            <w:vAlign w:val="center"/>
          </w:tcPr>
          <w:p>
            <w:pPr>
              <w:rPr>
                <w:rFonts w:hint="eastAsia" w:ascii="宋体"/>
                <w:sz w:val="24"/>
                <w:szCs w:val="24"/>
              </w:rPr>
            </w:pPr>
          </w:p>
        </w:tc>
        <w:tc>
          <w:tcPr>
            <w:tcW w:w="22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农业硕士</w:t>
            </w:r>
          </w:p>
        </w:tc>
        <w:tc>
          <w:tcPr>
            <w:tcW w:w="57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251</w:t>
            </w:r>
          </w:p>
        </w:tc>
        <w:tc>
          <w:tcPr>
            <w:tcW w:w="68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33</w:t>
            </w:r>
          </w:p>
        </w:tc>
        <w:tc>
          <w:tcPr>
            <w:tcW w:w="720" w:type="dxa"/>
            <w:tcBorders>
              <w:top w:val="nil"/>
              <w:left w:val="nil"/>
              <w:bottom w:val="single" w:color="auto" w:sz="4" w:space="0"/>
              <w:right w:val="single" w:color="auto" w:sz="4" w:space="0"/>
            </w:tcBorders>
            <w:shd w:val="clear"/>
            <w:noWrap/>
            <w:tcMar>
              <w:left w:w="20" w:type="dxa"/>
              <w:right w:w="2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rPr>
                <w:rFonts w:hint="default" w:ascii="Calibri" w:hAnsi="Calibri" w:cs="Calibri"/>
                <w:sz w:val="21"/>
                <w:szCs w:val="21"/>
              </w:rPr>
            </w:pPr>
            <w:r>
              <w:rPr>
                <w:rFonts w:hint="eastAsia" w:ascii="仿宋" w:hAnsi="仿宋" w:eastAsia="仿宋" w:cs="仿宋"/>
                <w:kern w:val="0"/>
                <w:sz w:val="14"/>
                <w:szCs w:val="14"/>
                <w:bdr w:val="none" w:color="auto" w:sz="0" w:space="0"/>
                <w:lang w:val="en-US" w:eastAsia="zh-CN" w:bidi="ar"/>
              </w:rPr>
              <w:t>50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三、复试比例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在学校复试分数线基础上，根据分配的招生指标，严格实行差额复试，将考生按照初试成绩总分由高到低进行排名，确定本学院各学科、专业复试考生名单，复试考生人数与招生规模（招生计划数减去推免生数）比例一般不低于120%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hanging="10"/>
        <w:jc w:val="left"/>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四、复试安排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我院2023年硕士研究生招生调剂复试采用线下复试的形式，资格审查地点12号楼714室。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作物学复试时间：2023年4月7-8日，具体复试日常安排如下：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2023年4月7日复试考生报到、资格审查、诚信教育。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2023年4月7日下午03∶00—6∶00，专业课笔试、专业外语笔试。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2023年4月8日上午08∶00—12∶00，面试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专业课、专业外语笔试地点：12号楼合四教室。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面试地点：作物学专业调剂复试考生在12号楼708会议室。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调剂复试考生名单详见生命科技学院网站通知。生物学、学科教学（生物）、农艺与种业（非全日制）具体复试时间另行通知。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hanging="10"/>
        <w:jc w:val="left"/>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五、复试内容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1、复试内容包括专业素质和能力测试、外语水平测试、综合素质及能力测试三个方面，满分250分。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专业素质和能力测试：主要考查大学阶段学习情况及成绩;创新精神和能力;本专业的发展潜力以及对本学科发展动态的了解;考生运用本学科知识发现、分析和解决问题的能力。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外语水平测试：包括公共外语和专业外语的听说能力、阅读与写作能力的测试。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综合素质及能力测试：主要考查考生的思想政治素质和道德品质，创新精神和创新能力，专业理论知识和应用技能掌握程度、利用所学理论发现、分析和解决问题的能力，考生对报考专业发展动态了解以及在本专业发展潜力；考生的科研和社会工作能力、实践经历，事业心、责任感、协作性、举止礼仪、口头表达能力以及心理健康情况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2、复试要求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笔试。满分150分（其中：专业知识笔试100分，专业外语笔试50分），笔试时间一般不超过3小时。按照我校2023年硕士研究生招生简章中列出的复试笔试科目进行，试题由各招生学院命制并组织考试。专业知识笔试成绩低于60分者，不予录取。专业外语笔试成绩低于30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同等学力加试。以同等学力参加复试的考生，须在复试中加试与报考专业相关的本科主干课程，其中笔试科目不少于两门。每门科目考试时间为2小时，试卷满分为100分。同等学力加试笔试由招生学院命制并组织考试。同等学力加试成绩只作为录取参考，不计入复试成绩总分。但加试科目单科成绩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3）面试。综合素质及能力测试采用面试形式，满分100分(其中:英语听说能力占40分)。主要对考生的思想品德、外语听力水平、口语水平，知识结构和综合能力等进行测试。对每位考生的面试时间一般不少于10分钟。综合面试成绩低于60分者，不予录取。英语听说能力测试成绩</w:t>
      </w:r>
      <w:r>
        <w:rPr>
          <w:rFonts w:hint="eastAsia" w:ascii="仿宋" w:hAnsi="仿宋" w:eastAsia="仿宋" w:cs="仿宋"/>
          <w:i w:val="0"/>
          <w:caps w:val="0"/>
          <w:color w:val="000000"/>
          <w:spacing w:val="0"/>
          <w:kern w:val="0"/>
          <w:sz w:val="19"/>
          <w:szCs w:val="19"/>
          <w:bdr w:val="none" w:color="auto" w:sz="0" w:space="0"/>
          <w:shd w:val="clear" w:fill="FFFFFF"/>
          <w:lang w:val="en-US" w:eastAsia="zh-CN" w:bidi="ar"/>
        </w:rPr>
        <w:t>低于24分</w:t>
      </w: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的考生不予录取。政审不符合要求的考生不予录取。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3、考生加权总成绩的计算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初试成绩和复试成绩均换算成百分制后按权重相加，得出考生入学考试总成绩（小数点后保留两位）。初试成绩占总成绩权重的60%，复试成绩占总成绩权重的40%（复试笔试成绩占复试成绩权重的60%，面试成绩占复试成绩权重的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加权总成绩=初试成绩／500×100×0.6+复试成绩×0.4。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复试成绩=复试笔试成绩（专业知识笔试成绩+专业外语笔试成绩）／150×100×0.6+面试成绩（外语听说能力成绩+专业综合能力面试成绩) ×0.4。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各学科专业的考生按总成绩从高到低排序进行排名。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hanging="10"/>
        <w:jc w:val="left"/>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六、复试录取资格审查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复试考生必须进行资格审查，通过者方可参加复试；未通过者，取消复试资格。未按规定时间到校参加复试的按自动放弃处理。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考生复试时须携带本人以下材料：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应届本科毕业生：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（1）准考证原件及复印件（核对照片）;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（2）本人二代身份证原件及复印件(核对照片、证件号码)。 身份证正反面居中印在一页A4纸上。身份证如果丢失，需由户口所在地派出所出具证明，并于证明上粘贴本人照片并骑缝加盖公章；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（3）学生证原件及复印件(核对照片)；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（4）中国高等教育学生信息网《教育部学籍在线验证报告》书面稿及电子稿；未通过网上学籍校验的考生，须提供全国高等学校学生信息咨询与就业指导中心或其代理机构出具的学籍认证报告；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（5）大学期间成绩单原件（加盖所在学校教务部门公章。专升本考生须同时提供专科和本科期间的成绩单）；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（6）应届本科毕业生学历学位证明；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（7）《河南科技学院硕士研究生招生复试考生思想政治品德考核表》；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（8）本人近期一寸免冠彩色照片1张（体检）；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（9）报考“退役大学生士兵”专项计划的考生须提交本人《应征公民入伍批准书》、《退出现役证》原件及复印件。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（10）对于在2023年研究生新生入学前可取得国家承认本科毕业证书的自学考试和网络教育本科生，须查验颁发毕业证书的省级高等教育自学考试办公室或网络教育高校出具的相关证明。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往届毕业生：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（1）准考证原件及复印件（核对照片）;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（2）本人二代身份证原件及复印件(核对照片、证件号码); 正反面印在一页A4纸上。身份证如果丢失，需由户口所在地派出所出具证明，并于证明上粘贴本人照片并骑缝加盖公章；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（3）学历证书原件及复印件(核对学历证书编号; 具有高职高专学历的本科生，需要同时提交高职高专学历原件及复印件); 境外获得学历的考生，须提交教育部留学服务中心出具的认证报告；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（4）学位证书原件及复印件(核对学位证书编号；没有获得学士学位的本科生、同等学力考生不需要提供); 境外获得学位的考生，须提交教育部留学服务中心出具的认证报告；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5）中国高等教育学生信息网《教育部学历证书电子注册备案表》书面稿及电子稿(具有高职高专学历的本科生，需要同时提交高职高专学历证书电子注册备案表)；未通过网上学历校验的考生，须提供全国高等学校学生信息咨询与就业指导中心或其代理机构出具的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（6）中国学位与研究生教育信息网《教育部学位电子注册备案表》（往届生）书面稿及电子稿(没有获得学士学位的本科生、同等学力考生不需要提供)；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（7）大学期间成绩单原件或档案中成绩单复印件（加盖档案单位公章。专升本考生须同时提供专科和本科期间的成绩单）；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（8）《河南科技学院硕士研究生招生复试考生思想政治品德考核表》；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（9）本人近期一寸免冠彩色照片1张（体检）；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7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（10）报考“退役大学生士兵”专项计划的考生须提交本人《应征公民入伍批准书》、《退出现役证》原件及复印件；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（11）对于在读研究生，须查验培养单位出具的同意报考证明。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50" w:lineRule="atLeast"/>
        <w:ind w:left="0" w:right="0" w:firstLine="320"/>
        <w:rPr>
          <w:rFonts w:hint="default" w:ascii="Calibri" w:hAnsi="Calibri" w:cs="Calibri"/>
          <w:i w:val="0"/>
          <w:caps w:val="0"/>
          <w:color w:val="000000"/>
          <w:spacing w:val="0"/>
          <w:sz w:val="24"/>
          <w:szCs w:val="24"/>
        </w:rPr>
      </w:pPr>
      <w:r>
        <w:rPr>
          <w:rFonts w:hint="eastAsia" w:ascii="仿宋" w:hAnsi="仿宋" w:eastAsia="仿宋" w:cs="仿宋"/>
          <w:i w:val="0"/>
          <w:caps w:val="0"/>
          <w:color w:val="000000"/>
          <w:spacing w:val="0"/>
          <w:sz w:val="19"/>
          <w:szCs w:val="19"/>
          <w:bdr w:val="none" w:color="auto" w:sz="0" w:space="0"/>
          <w:shd w:val="clear" w:fill="F4F4F4"/>
        </w:rPr>
        <w:t>上述材料将作为新生入学资格审查的复审依据，请务必完整、准确、清晰提供有关材料，如有提供任何虚假、错误材料和信息，无论何时一经发现将根据相关规定取消考生录取资格。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37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体检在复试结束拟录取后进行，具体形式和安排按我校研究生处通知进行。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八、其他事项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其他未列事项以学校发布的《河南科技学院2023年硕士研究生复试录取工作方案》为准。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九、联系方式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hanging="1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考生如有问题可通过以下方式进行咨询。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10" w:right="0" w:hanging="10"/>
        <w:jc w:val="left"/>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19"/>
          <w:szCs w:val="19"/>
          <w:bdr w:val="none" w:color="auto" w:sz="0" w:space="0"/>
          <w:shd w:val="clear" w:fill="F4F4F4"/>
          <w:lang w:val="en-US" w:eastAsia="zh-CN" w:bidi="ar"/>
        </w:rPr>
        <w:t>招生复试工作：于老师，办公电话0373-3040337，手机13837312009。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0" w:right="0" w:firstLine="0"/>
        <w:jc w:val="left"/>
        <w:rPr>
          <w:rFonts w:hint="default" w:ascii="Calibri" w:hAnsi="Calibri" w:cs="Calibri"/>
          <w:i w:val="0"/>
          <w:caps w:val="0"/>
          <w:color w:val="000000"/>
          <w:spacing w:val="0"/>
          <w:sz w:val="21"/>
          <w:szCs w:val="21"/>
        </w:rPr>
      </w:pPr>
      <w:r>
        <w:rPr>
          <w:rFonts w:hint="default" w:ascii="Calibri" w:hAnsi="Calibri" w:cs="Calibri" w:eastAsiaTheme="minorEastAsia"/>
          <w:i w:val="0"/>
          <w:caps w:val="0"/>
          <w:color w:val="000000"/>
          <w:spacing w:val="0"/>
          <w:kern w:val="0"/>
          <w:sz w:val="21"/>
          <w:szCs w:val="21"/>
          <w:bdr w:val="none" w:color="auto" w:sz="0" w:space="0"/>
          <w:shd w:val="clear" w:fill="F4F4F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0" w:right="0" w:firstLine="2800"/>
        <w:jc w:val="left"/>
        <w:rPr>
          <w:rFonts w:hint="default" w:ascii="Calibri" w:hAnsi="Calibri" w:cs="Calibri"/>
          <w:i w:val="0"/>
          <w:caps w:val="0"/>
          <w:color w:val="000000"/>
          <w:spacing w:val="0"/>
          <w:sz w:val="21"/>
          <w:szCs w:val="21"/>
        </w:rPr>
      </w:pPr>
      <w:r>
        <w:rPr>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河南科技学院 生命科技学院</w:t>
      </w:r>
      <w:r>
        <w:rPr>
          <w:rFonts w:hint="default" w:ascii="Calibri" w:hAnsi="Calibri" w:cs="Calibri" w:eastAsiaTheme="minorEastAsia"/>
          <w:i w:val="0"/>
          <w:caps w:val="0"/>
          <w:color w:val="000000"/>
          <w:spacing w:val="0"/>
          <w:kern w:val="0"/>
          <w:sz w:val="21"/>
          <w:szCs w:val="21"/>
          <w:bdr w:val="none" w:color="auto" w:sz="0" w:space="0"/>
          <w:shd w:val="clear" w:fill="F4F4F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line="330" w:lineRule="atLeast"/>
        <w:ind w:left="0" w:right="0" w:firstLine="3450"/>
        <w:jc w:val="left"/>
        <w:rPr>
          <w:rFonts w:hint="default" w:ascii="Calibri" w:hAnsi="Calibri" w:cs="Calibri"/>
          <w:i w:val="0"/>
          <w:caps w:val="0"/>
          <w:color w:val="000000"/>
          <w:spacing w:val="0"/>
          <w:sz w:val="21"/>
          <w:szCs w:val="21"/>
        </w:rPr>
      </w:pPr>
      <w:r>
        <w:rPr>
          <w:rFonts w:hint="default" w:ascii="fangsong_gb2312" w:hAnsi="fangsong_gb2312" w:eastAsia="fangsong_gb2312" w:cs="fangsong_gb2312"/>
          <w:i w:val="0"/>
          <w:caps w:val="0"/>
          <w:color w:val="000000"/>
          <w:spacing w:val="0"/>
          <w:kern w:val="0"/>
          <w:sz w:val="19"/>
          <w:szCs w:val="19"/>
          <w:bdr w:val="none" w:color="auto" w:sz="0" w:space="0"/>
          <w:shd w:val="clear" w:fill="F4F4F4"/>
          <w:lang w:val="en-US" w:eastAsia="zh-CN" w:bidi="ar"/>
        </w:rPr>
        <w:t>2022年4月6日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7C5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2023-05-20T00:43:48Z</dcterms:created>
  <dc:creator>86188</dc:creator>
  <cp:lastModifiedBy>随风而动</cp:lastModifiedBy>
  <dcterms:modified xsi:type="dcterms:W3CDTF">2023-05-20T00:43:50Z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