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河南科技学院资源与环境学院2023年硕士研究生招生调剂公告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2023-04-04 15:36 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根据我院第一志愿考生报考及过线情况，植物保护学术硕士、资源与环境专业硕士、资源利用与植物保护（非全日制）还有缺额，可以接受全国优秀考生调剂申请，欢迎广大考生咨询填报。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一、可接受调剂的学科专业</w:t>
            </w:r>
          </w:p>
          <w:tbl>
            <w:tblPr>
              <w:tblW w:w="5030" w:type="dxa"/>
              <w:tblCellSpacing w:w="0" w:type="dxa"/>
              <w:tblInd w:w="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2"/>
              <w:gridCol w:w="1024"/>
              <w:gridCol w:w="1061"/>
              <w:gridCol w:w="1993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02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Style w:val="5"/>
                      <w:bdr w:val="none" w:color="auto" w:sz="0" w:space="0"/>
                    </w:rPr>
                    <w:t>学科代码</w:t>
                  </w:r>
                </w:p>
              </w:tc>
              <w:tc>
                <w:tcPr>
                  <w:tcW w:w="129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Style w:val="5"/>
                      <w:bdr w:val="none" w:color="auto" w:sz="0" w:space="0"/>
                    </w:rPr>
                    <w:t>学科</w:t>
                  </w:r>
                </w:p>
              </w:tc>
              <w:tc>
                <w:tcPr>
                  <w:tcW w:w="134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Style w:val="5"/>
                      <w:bdr w:val="none" w:color="auto" w:sz="0" w:space="0"/>
                    </w:rPr>
                    <w:t>专业类别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Style w:val="5"/>
                      <w:bdr w:val="none" w:color="auto" w:sz="0" w:space="0"/>
                    </w:rPr>
                    <w:t>联系方式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02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090400</w:t>
                  </w:r>
                </w:p>
              </w:tc>
              <w:tc>
                <w:tcPr>
                  <w:tcW w:w="129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植物保护</w:t>
                  </w:r>
                </w:p>
              </w:tc>
              <w:tc>
                <w:tcPr>
                  <w:tcW w:w="134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全日制学术硕士</w:t>
                  </w:r>
                </w:p>
              </w:tc>
              <w:tc>
                <w:tcPr>
                  <w:tcW w:w="1380" w:type="dxa"/>
                  <w:vMerge w:val="restart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李老师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0373-3040126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18790630868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zihuanyjs@163.com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02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085700</w:t>
                  </w:r>
                </w:p>
              </w:tc>
              <w:tc>
                <w:tcPr>
                  <w:tcW w:w="129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134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全日制专业硕士</w:t>
                  </w:r>
                </w:p>
              </w:tc>
              <w:tc>
                <w:tcPr>
                  <w:tcW w:w="1380" w:type="dxa"/>
                  <w:vMerge w:val="continue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02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095132</w:t>
                  </w:r>
                </w:p>
              </w:tc>
              <w:tc>
                <w:tcPr>
                  <w:tcW w:w="129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资源利用与植物保护</w:t>
                  </w:r>
                </w:p>
              </w:tc>
              <w:tc>
                <w:tcPr>
                  <w:tcW w:w="134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非全日制专业硕士</w:t>
                  </w:r>
                </w:p>
              </w:tc>
              <w:tc>
                <w:tcPr>
                  <w:tcW w:w="1380" w:type="dxa"/>
                  <w:vMerge w:val="continue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二、调剂基本条件与调剂原则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同时符合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以下条件方可调剂：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1.符合调入专业的报考条件。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2.考生初试成绩符合第一志愿报考专业在A类地区的全国初试成绩基本要求。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3.调入专业与第一志愿报考专业相同或相近，一般情况下，应在同一学科门类范围内（第一志愿报考专业代码前两位与调入专业代码前两位相同）。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4.考生初试科目应与调入专业初试科目相同或相近，其中初试全国统一命题科目应与调入专业全国统一命题科目相同。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5.0951农业硕士专业学位类别内各专业领域相互调剂时，一般应按照业务课：农业知识综合（一）的考试科目进行调剂。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6.所有调剂考生都必须经过教育部指定的“全国硕士生招生调剂服务系统”进行调剂，否则无效。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三、调剂程序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所有调剂到我校的考生（既包括接收外单位调剂考生，也包括接收我校内部调剂考生，还包括全日制考生调剂到非全日制学习考生、退役大学生士兵专项计划考生调剂到普通计划）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必须通过“全国硕士生招生调剂服务系统”（公网网址：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instrText xml:space="preserve"> HYPERLINK "http://yz.chsi.com.cn/" </w:instrTex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http://yz.chsi.com.cn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fldChar w:fldCharType="end"/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，教育网址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instrText xml:space="preserve"> HYPERLINK "http://yz.chsi.cn/" </w:instrTex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http://yz.chsi.cn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fldChar w:fldCharType="end"/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）进行。未经调剂系统录取的调剂考生不予认可。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2023年“全国硕士研究生招生调剂服务系统”开通时间：4月6日～4月30日。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符合调剂条件的考生在规定时间内登陆“全国硕士研究生招生调剂服务系统”填写调剂志愿，学院将通过网上调剂系统通知获准参加复试的调剂考生，考生必须在规定时间内（一般为24小时）回复确认。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有关我校2023年研究生招生调剂、复试工作的具体安排，将通过我校研究生院网站和学院发布。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有调剂意向的考生请及时关注网站信息，并与学院联系人直接联系，调剂期间保持手机畅通。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四、其他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1.以上信息若与教育部规定有不同之处，按教育部有关规定执行。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2.详细调剂信息以研招网调剂系统开通后公布的信息为准。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五、联系方式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1.学院联系信息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联系电话：0373-3040126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李老师：18790630868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2.相关网站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学院网站:http://zyyhjxy.hist.edu.cn/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3.有意愿调剂我院相关专业请加入：“资源与环境学院2023年研究生招生调剂咨询群”；成功调剂入围参加我院复试的考生请添加：“资源与环境学院2023年研究生招生调剂复试通知群”；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8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2023-05-20T00:56:04Z</dcterms:created>
  <dc:creator>86188</dc:creator>
  <cp:lastModifiedBy>随风而动</cp:lastModifiedBy>
  <dcterms:modified xsi:type="dcterms:W3CDTF">2023-05-20T00:56:05Z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