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  <w:shd w:val="clear" w:fill="FFFFFF"/>
        </w:rPr>
        <w:t>海南医学院急诊创伤学院2023年硕士研究生招生计划分配方案及复试入围名单（第一志愿）公示</w:t>
      </w:r>
    </w:p>
    <w:bookmarkEnd w:id="0"/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根据教育部下达计划总量，海南医学院下达学院计划量，结合学院各专业一志愿考生上线情况、师资力量等情况，我院制定了2023年硕士研究生招生计划分配方案（详见附件1）。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另根据《海南医学院2023年硕士研究生复试录取工作方案》《海南医学院急诊创伤学院2023年硕士研究生招生复试录取工作实施细则》，结合海南医学院2023年急诊创伤学院硕士研究生招生计划数。一志愿报考海南医学院急诊创伤学院的考生，在达到《2023年全国硕士研究生招生考试考生进入复试的初试成绩基本要求》（国家B区分数线）的基础上，报考同一专业的考生按初试总成绩从高到低排序确定，再根据招生计划采取差额复试形式，入围比例为1:1.5，不足1名时按1名计算。初试总成绩相同，依次按英语、政治、专业课成绩进行比较，分数高者优先入围。现将名单予以公示，详见附件2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如有异议及疑问请于通知三日内联系学院相关老师。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联系电话：13526965205  18389779575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center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海南医学院急诊创伤学院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center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                                 </w:t>
      </w:r>
      <w:r>
        <w:rPr>
          <w:rFonts w:ascii="Calibri" w:hAnsi="Calibri" w:eastAsia="微软雅黑" w:cs="Calibri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20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"https://www.hainmc.edu.cn/system/_content/download.jsp?urltype=news.DownloadAttachUrl&amp;owner=1769350721&amp;wbfileid=11418139" \t "https://www.hainmc.edu.cn/etc/info/1413/_blank"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复试名单-急诊创伤学院2023.xls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】已下载1354次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"https://www.hainmc.edu.cn/system/_content/download.jsp?urltype=news.DownloadAttachUrl&amp;owner=1769350721&amp;wbfileid=11418138" \t "https://www.hainmc.edu.cn/etc/info/1413/_blank"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海南医学院急诊创伤学院2023年硕士研究生招生计划1.xlsx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】已下载938次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EA373"/>
    <w:multiLevelType w:val="multilevel"/>
    <w:tmpl w:val="875EA37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B0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2023-09-03T03:28:10Z</dcterms:created>
  <dc:creator>Administrator</dc:creator>
  <cp:lastModifiedBy>王英</cp:lastModifiedBy>
  <dcterms:modified xsi:type="dcterms:W3CDTF">2023-09-03T03:28:17Z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FC9D94CD67644F558C53DF91A525A293_13</vt:lpwstr>
  </property>
</Properties>
</file>