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ascii="微软雅黑" w:hAnsi="微软雅黑" w:eastAsia="微软雅黑" w:cs="微软雅黑"/>
          <w:b/>
          <w:bCs/>
          <w:i w:val="0"/>
          <w:iCs w:val="0"/>
          <w:caps w:val="0"/>
          <w:color w:val="000000"/>
          <w:spacing w:val="0"/>
          <w:sz w:val="26"/>
          <w:szCs w:val="26"/>
        </w:rPr>
      </w:pPr>
      <w:bookmarkStart w:id="0" w:name="_GoBack"/>
      <w:r>
        <w:rPr>
          <w:rFonts w:hint="eastAsia" w:ascii="微软雅黑" w:hAnsi="微软雅黑" w:eastAsia="微软雅黑" w:cs="微软雅黑"/>
          <w:b/>
          <w:bCs/>
          <w:i w:val="0"/>
          <w:iCs w:val="0"/>
          <w:caps w:val="0"/>
          <w:color w:val="000000"/>
          <w:spacing w:val="0"/>
          <w:kern w:val="0"/>
          <w:sz w:val="26"/>
          <w:szCs w:val="26"/>
          <w:bdr w:val="none" w:color="auto" w:sz="0" w:space="0"/>
          <w:shd w:val="clear" w:fill="FFFFFF"/>
          <w:lang w:val="en-US" w:eastAsia="zh-CN" w:bidi="ar"/>
        </w:rPr>
        <w:t>外国语学院调剂公告</w:t>
      </w:r>
    </w:p>
    <w:bookmarkEnd w:id="0"/>
    <w:p>
      <w:pPr>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0" w:beforeAutospacing="0" w:after="0" w:afterAutospacing="0" w:line="400" w:lineRule="atLeast"/>
        <w:ind w:left="0" w:righ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作者：;      发布时间：2023-04-05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根据2023年研究生招生计划和一志愿复试情况，我院可接收考生调剂申请。相关情况如下：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一、接收调剂的专业及招生计划</w:t>
      </w: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1700"/>
        <w:gridCol w:w="3130"/>
        <w:gridCol w:w="1270"/>
        <w:gridCol w:w="1050"/>
        <w:gridCol w:w="112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rStyle w:val="5"/>
                <w:sz w:val="16"/>
                <w:szCs w:val="16"/>
                <w:bdr w:val="none" w:color="auto" w:sz="0" w:space="0"/>
              </w:rPr>
              <w:t>专业</w:t>
            </w:r>
          </w:p>
        </w:tc>
        <w:tc>
          <w:tcPr>
            <w:tcW w:w="31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rStyle w:val="5"/>
                <w:sz w:val="16"/>
                <w:szCs w:val="16"/>
                <w:bdr w:val="none" w:color="auto" w:sz="0" w:space="0"/>
              </w:rPr>
              <w:t>研究方向</w:t>
            </w:r>
          </w:p>
        </w:tc>
        <w:tc>
          <w:tcPr>
            <w:tcW w:w="1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rStyle w:val="5"/>
                <w:sz w:val="16"/>
                <w:szCs w:val="16"/>
                <w:bdr w:val="none" w:color="auto" w:sz="0" w:space="0"/>
              </w:rPr>
              <w:t>学位类型</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rStyle w:val="5"/>
                <w:sz w:val="16"/>
                <w:szCs w:val="16"/>
                <w:bdr w:val="none" w:color="auto" w:sz="0" w:space="0"/>
              </w:rPr>
              <w:t>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rStyle w:val="5"/>
                <w:sz w:val="16"/>
                <w:szCs w:val="16"/>
                <w:bdr w:val="none" w:color="auto" w:sz="0" w:space="0"/>
              </w:rPr>
              <w:t>方式</w:t>
            </w:r>
          </w:p>
        </w:tc>
        <w:tc>
          <w:tcPr>
            <w:tcW w:w="11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rStyle w:val="5"/>
                <w:sz w:val="16"/>
                <w:szCs w:val="16"/>
                <w:bdr w:val="none" w:color="auto" w:sz="0" w:space="0"/>
              </w:rPr>
              <w:t>拟调剂计划</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0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050200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外国语言文学</w:t>
            </w:r>
          </w:p>
        </w:tc>
        <w:tc>
          <w:tcPr>
            <w:tcW w:w="31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01英语语言文学</w:t>
            </w:r>
          </w:p>
        </w:tc>
        <w:tc>
          <w:tcPr>
            <w:tcW w:w="1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学术学位</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全日制</w:t>
            </w:r>
          </w:p>
        </w:tc>
        <w:tc>
          <w:tcPr>
            <w:tcW w:w="11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5</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31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11外国语言学及应用语言学</w:t>
            </w:r>
          </w:p>
        </w:tc>
        <w:tc>
          <w:tcPr>
            <w:tcW w:w="1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学术学位</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全日制</w:t>
            </w:r>
          </w:p>
        </w:tc>
        <w:tc>
          <w:tcPr>
            <w:tcW w:w="11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3</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7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31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05日语语言文学</w:t>
            </w:r>
          </w:p>
        </w:tc>
        <w:tc>
          <w:tcPr>
            <w:tcW w:w="1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学术学位</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全日制</w:t>
            </w:r>
          </w:p>
        </w:tc>
        <w:tc>
          <w:tcPr>
            <w:tcW w:w="11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3</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055100 翻译</w:t>
            </w:r>
          </w:p>
        </w:tc>
        <w:tc>
          <w:tcPr>
            <w:tcW w:w="31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05日语笔译</w:t>
            </w:r>
          </w:p>
        </w:tc>
        <w:tc>
          <w:tcPr>
            <w:tcW w:w="12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专业学位</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全日制</w:t>
            </w:r>
          </w:p>
        </w:tc>
        <w:tc>
          <w:tcPr>
            <w:tcW w:w="11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textAlignment w:val="center"/>
              <w:rPr>
                <w:b w:val="0"/>
                <w:bCs w:val="0"/>
                <w:sz w:val="16"/>
                <w:szCs w:val="16"/>
              </w:rPr>
            </w:pPr>
            <w:r>
              <w:rPr>
                <w:b w:val="0"/>
                <w:bCs w:val="0"/>
                <w:sz w:val="16"/>
                <w:szCs w:val="16"/>
                <w:bdr w:val="none" w:color="auto" w:sz="0" w:space="0"/>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二、调剂报名时间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4月6日0时-12时。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根据调剂系统规则，所有考生在</w:t>
      </w: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调剂报名时间结束后</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才能收到复试通知。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三、调剂要求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根据考生学术和学业等情况择优确定参加复试考生名单，申请调剂的考生应符合以下基本条件要求：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1.符合湖北大学招生简章规定的报考条件。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2.初试成绩符合第一志愿报考专业和申请调剂专业的“全国初试成绩基本要求”的国家A类线。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3.初试第一志愿报考专业与申请调剂专业相同或相近，且在同一学科门类范围内。申请调剂专业的代码应与初试报考的专业代码原则上前4位相同。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4.申请调剂的考生初试科目与调入专业初试科目相同或相近，其中全国统一命题科目应相同。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具体可参考：湖北大学2023年硕士研究生招生专业目录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http://yz.hubu.edu.cn/info/1025/2630.htm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5.符合上述调剂规定，达到以下条件之一者可优先考虑：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（1）通过英语专业八级或日语专业八级等级考试；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（2）通过人事部翻译资格（CATTI）二级或三级考试；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（3）本科期间参加省级及以上外语专业竞赛获一等奖及以上；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（4）学术学位型考生已发表与专业相关的学术论文。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6.身体健康状况符合规定的体检标准。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四、调剂复试方式、内容及要求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详见学校研究生招生信息网的有关通知以及我院网站公布的复试录取实施细则。外国语言文学专业中的各研究方向考生复试总评成绩单独排序。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五、调剂复试时间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报到及资格审核时间：2023年4月8日8:00-11:30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报到地点：逸夫人文楼B座大厅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面试时间：2023年4月8日13:00-17:30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lef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笔试时间：2023年4月8日18:30-20:30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240" w:lineRule="atLeast"/>
        <w:ind w:left="0" w:right="0" w:firstLine="420"/>
        <w:jc w:val="righ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湖北大学外国语学院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420"/>
        <w:jc w:val="right"/>
        <w:textAlignment w:val="center"/>
        <w:rPr>
          <w:b w:val="0"/>
          <w:bCs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50B2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2023-04-15T07:35:08Z</dcterms:created>
  <dc:creator>DELL</dc:creator>
  <cp:lastModifiedBy>WPS_1661830351</cp:lastModifiedBy>
  <dcterms:modified xsi:type="dcterms:W3CDTF">2023-04-15T07:35:16Z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53E05DBF9E054C8DACC1B3414FDDC7C5_12</vt:lpwstr>
  </property>
</Properties>
</file>