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0"/>
        <w:jc w:val="center"/>
        <w:rPr>
          <w:rFonts w:ascii="微软雅黑" w:hAnsi="微软雅黑" w:eastAsia="微软雅黑" w:cs="微软雅黑"/>
          <w:b w:val="0"/>
          <w:bCs w:val="0"/>
          <w:i w:val="0"/>
          <w:iCs w:val="0"/>
          <w:caps w:val="0"/>
          <w:color w:val="333333"/>
          <w:spacing w:val="0"/>
          <w:sz w:val="24"/>
          <w:szCs w:val="24"/>
        </w:rPr>
      </w:pPr>
      <w:r>
        <w:rPr>
          <w:rFonts w:hint="eastAsia" w:ascii="微软雅黑" w:hAnsi="微软雅黑" w:eastAsia="微软雅黑" w:cs="微软雅黑"/>
          <w:b w:val="0"/>
          <w:bCs w:val="0"/>
          <w:i w:val="0"/>
          <w:iCs w:val="0"/>
          <w:caps w:val="0"/>
          <w:color w:val="333333"/>
          <w:spacing w:val="0"/>
          <w:sz w:val="24"/>
          <w:szCs w:val="24"/>
          <w:bdr w:val="none" w:color="auto" w:sz="0" w:space="0"/>
          <w:shd w:val="clear" w:fill="FFFFFF"/>
        </w:rPr>
        <w:t>湖北工业大学土木建筑与环境学院2023年硕士研究生招生调剂公告（二）</w:t>
      </w:r>
    </w:p>
    <w:p>
      <w:pPr>
        <w:keepNext w:val="0"/>
        <w:keepLines w:val="0"/>
        <w:widowControl/>
        <w:suppressLineNumbers w:val="0"/>
        <w:pBdr>
          <w:top w:val="none" w:color="auto" w:sz="0" w:space="0"/>
          <w:left w:val="none" w:color="auto" w:sz="0" w:space="0"/>
          <w:bottom w:val="dashed" w:color="C3C3C3" w:sz="4" w:space="2"/>
          <w:right w:val="none" w:color="auto" w:sz="0" w:space="0"/>
        </w:pBdr>
        <w:shd w:val="clear" w:fill="FFFFFF"/>
        <w:spacing w:before="0" w:beforeAutospacing="0" w:after="150" w:afterAutospacing="0" w:line="300" w:lineRule="atLeast"/>
        <w:ind w:left="0" w:right="0" w:firstLine="0"/>
        <w:jc w:val="center"/>
        <w:rPr>
          <w:rFonts w:hint="eastAsia" w:ascii="微软雅黑" w:hAnsi="微软雅黑" w:eastAsia="微软雅黑" w:cs="微软雅黑"/>
          <w:i w:val="0"/>
          <w:iCs w:val="0"/>
          <w:caps w:val="0"/>
          <w:color w:val="C3C3C3"/>
          <w:spacing w:val="0"/>
          <w:sz w:val="16"/>
          <w:szCs w:val="16"/>
        </w:rPr>
      </w:pPr>
      <w:r>
        <w:rPr>
          <w:rFonts w:hint="eastAsia" w:ascii="微软雅黑" w:hAnsi="微软雅黑" w:eastAsia="微软雅黑" w:cs="微软雅黑"/>
          <w:i w:val="0"/>
          <w:iCs w:val="0"/>
          <w:caps w:val="0"/>
          <w:color w:val="C3C3C3"/>
          <w:spacing w:val="0"/>
          <w:kern w:val="0"/>
          <w:sz w:val="16"/>
          <w:szCs w:val="16"/>
          <w:bdr w:val="none" w:color="auto" w:sz="0" w:space="0"/>
          <w:shd w:val="clear" w:fill="FFFFFF"/>
          <w:lang w:val="en-US" w:eastAsia="zh-CN" w:bidi="ar"/>
        </w:rPr>
        <w:drawing>
          <wp:inline distT="0" distB="0" distL="114300" distR="114300">
            <wp:extent cx="123825" cy="133350"/>
            <wp:effectExtent l="0" t="0" r="3175" b="635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123825" cy="13335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C3C3C3"/>
          <w:spacing w:val="0"/>
          <w:kern w:val="0"/>
          <w:sz w:val="16"/>
          <w:szCs w:val="16"/>
          <w:bdr w:val="none" w:color="auto" w:sz="0" w:space="0"/>
          <w:shd w:val="clear" w:fill="FFFFFF"/>
          <w:lang w:val="en-US" w:eastAsia="zh-CN" w:bidi="ar"/>
        </w:rPr>
        <w:t>作者：研工办    </w:t>
      </w:r>
      <w:r>
        <w:rPr>
          <w:rFonts w:hint="eastAsia" w:ascii="微软雅黑" w:hAnsi="微软雅黑" w:eastAsia="微软雅黑" w:cs="微软雅黑"/>
          <w:i w:val="0"/>
          <w:iCs w:val="0"/>
          <w:caps w:val="0"/>
          <w:color w:val="C3C3C3"/>
          <w:spacing w:val="0"/>
          <w:kern w:val="0"/>
          <w:sz w:val="16"/>
          <w:szCs w:val="16"/>
          <w:bdr w:val="none" w:color="auto" w:sz="0" w:space="0"/>
          <w:shd w:val="clear" w:fill="FFFFFF"/>
          <w:lang w:val="en-US" w:eastAsia="zh-CN" w:bidi="ar"/>
        </w:rPr>
        <w:drawing>
          <wp:inline distT="0" distB="0" distL="114300" distR="114300">
            <wp:extent cx="133350" cy="133350"/>
            <wp:effectExtent l="0" t="0" r="6350" b="6350"/>
            <wp:docPr id="2"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1"/>
                    </pic:cNvPicPr>
                  </pic:nvPicPr>
                  <pic:blipFill>
                    <a:blip r:embed="rId5"/>
                    <a:stretch>
                      <a:fillRect/>
                    </a:stretch>
                  </pic:blipFill>
                  <pic:spPr>
                    <a:xfrm>
                      <a:off x="0" y="0"/>
                      <a:ext cx="133350" cy="13335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C3C3C3"/>
          <w:spacing w:val="0"/>
          <w:kern w:val="0"/>
          <w:sz w:val="16"/>
          <w:szCs w:val="16"/>
          <w:bdr w:val="none" w:color="auto" w:sz="0" w:space="0"/>
          <w:shd w:val="clear" w:fill="FFFFFF"/>
          <w:lang w:val="en-US" w:eastAsia="zh-CN" w:bidi="ar"/>
        </w:rPr>
        <w:t>发布：2023-04-10    </w:t>
      </w:r>
      <w:r>
        <w:rPr>
          <w:rFonts w:hint="eastAsia" w:ascii="微软雅黑" w:hAnsi="微软雅黑" w:eastAsia="微软雅黑" w:cs="微软雅黑"/>
          <w:i w:val="0"/>
          <w:iCs w:val="0"/>
          <w:caps w:val="0"/>
          <w:color w:val="C3C3C3"/>
          <w:spacing w:val="0"/>
          <w:kern w:val="0"/>
          <w:sz w:val="16"/>
          <w:szCs w:val="16"/>
          <w:bdr w:val="none" w:color="auto" w:sz="0" w:space="0"/>
          <w:shd w:val="clear" w:fill="FFFFFF"/>
          <w:lang w:val="en-US" w:eastAsia="zh-CN" w:bidi="ar"/>
        </w:rPr>
        <w:drawing>
          <wp:inline distT="0" distB="0" distL="114300" distR="114300">
            <wp:extent cx="133350" cy="133350"/>
            <wp:effectExtent l="0" t="0" r="6350" b="6350"/>
            <wp:docPr id="3"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IMG_258"/>
                    <pic:cNvPicPr>
                      <a:picLocks noChangeAspect="1"/>
                    </pic:cNvPicPr>
                  </pic:nvPicPr>
                  <pic:blipFill>
                    <a:blip r:embed="rId6"/>
                    <a:stretch>
                      <a:fillRect/>
                    </a:stretch>
                  </pic:blipFill>
                  <pic:spPr>
                    <a:xfrm>
                      <a:off x="0" y="0"/>
                      <a:ext cx="133350" cy="13335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C3C3C3"/>
          <w:spacing w:val="0"/>
          <w:kern w:val="0"/>
          <w:sz w:val="16"/>
          <w:szCs w:val="16"/>
          <w:bdr w:val="none" w:color="auto" w:sz="0" w:space="0"/>
          <w:shd w:val="clear" w:fill="FFFFFF"/>
          <w:lang w:val="en-US" w:eastAsia="zh-CN" w:bidi="ar"/>
        </w:rPr>
        <w:t>点击量：1143</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both"/>
        <w:rPr>
          <w:rFonts w:ascii="Calibri" w:hAnsi="Calibri" w:cs="Calibri"/>
          <w:sz w:val="21"/>
          <w:szCs w:val="21"/>
        </w:rPr>
      </w:pPr>
      <w:r>
        <w:rPr>
          <w:rFonts w:hint="default" w:ascii="Calibri" w:hAnsi="Calibri" w:eastAsia="微软雅黑" w:cs="Calibri"/>
          <w:i w:val="0"/>
          <w:iCs w:val="0"/>
          <w:caps w:val="0"/>
          <w:color w:val="000000"/>
          <w:spacing w:val="0"/>
          <w:kern w:val="0"/>
          <w:sz w:val="21"/>
          <w:szCs w:val="21"/>
          <w:bdr w:val="none" w:color="auto" w:sz="0" w:space="0"/>
          <w:shd w:val="clear" w:fill="FFFFFF"/>
          <w:lang w:val="en-US" w:eastAsia="zh-CN" w:bidi="ar"/>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jc w:val="center"/>
        <w:rPr>
          <w:rFonts w:hint="default" w:ascii="Calibri" w:hAnsi="Calibri" w:cs="Calibri"/>
          <w:sz w:val="24"/>
          <w:szCs w:val="24"/>
        </w:rPr>
      </w:pPr>
      <w:bookmarkStart w:id="0" w:name="_GoBack"/>
      <w:r>
        <w:rPr>
          <w:rFonts w:hint="eastAsia" w:ascii="宋体" w:hAnsi="宋体" w:eastAsia="宋体" w:cs="宋体"/>
          <w:i w:val="0"/>
          <w:iCs w:val="0"/>
          <w:caps w:val="0"/>
          <w:color w:val="000000"/>
          <w:spacing w:val="0"/>
          <w:sz w:val="28"/>
          <w:szCs w:val="28"/>
          <w:bdr w:val="none" w:color="auto" w:sz="0" w:space="0"/>
          <w:shd w:val="clear" w:fill="FFFFFF"/>
        </w:rPr>
        <w:t>湖北工业大学土木建筑与环境学院</w:t>
      </w:r>
      <w:r>
        <w:rPr>
          <w:rStyle w:val="7"/>
          <w:rFonts w:hint="default" w:ascii="Times New Roman" w:hAnsi="Times New Roman" w:eastAsia="微软雅黑" w:cs="Times New Roman"/>
          <w:i w:val="0"/>
          <w:iCs w:val="0"/>
          <w:caps w:val="0"/>
          <w:color w:val="000000"/>
          <w:spacing w:val="0"/>
          <w:sz w:val="28"/>
          <w:szCs w:val="28"/>
          <w:bdr w:val="none" w:color="auto" w:sz="0" w:space="0"/>
          <w:shd w:val="clear" w:fill="FFFFFF"/>
        </w:rPr>
        <w:t>202</w:t>
      </w:r>
      <w:r>
        <w:rPr>
          <w:rStyle w:val="7"/>
          <w:rFonts w:hint="default" w:ascii="Times New Roman" w:hAnsi="Times New Roman" w:eastAsia="宋体" w:cs="Times New Roman"/>
          <w:i w:val="0"/>
          <w:iCs w:val="0"/>
          <w:caps w:val="0"/>
          <w:color w:val="000000"/>
          <w:spacing w:val="0"/>
          <w:sz w:val="28"/>
          <w:szCs w:val="28"/>
          <w:bdr w:val="none" w:color="auto" w:sz="0" w:space="0"/>
          <w:shd w:val="clear" w:fill="FFFFFF"/>
        </w:rPr>
        <w:t>3</w:t>
      </w:r>
      <w:r>
        <w:rPr>
          <w:rStyle w:val="7"/>
          <w:rFonts w:hint="eastAsia" w:ascii="宋体" w:hAnsi="宋体" w:eastAsia="宋体" w:cs="宋体"/>
          <w:i w:val="0"/>
          <w:iCs w:val="0"/>
          <w:caps w:val="0"/>
          <w:color w:val="000000"/>
          <w:spacing w:val="0"/>
          <w:sz w:val="28"/>
          <w:szCs w:val="28"/>
          <w:bdr w:val="none" w:color="auto" w:sz="0" w:space="0"/>
          <w:shd w:val="clear" w:fill="FFFFFF"/>
        </w:rPr>
        <w:t>年硕士研究生招生调剂公告（二）</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0" w:afterAutospacing="0" w:line="400" w:lineRule="atLeast"/>
        <w:ind w:left="0" w:right="0"/>
        <w:jc w:val="both"/>
        <w:rPr>
          <w:rFonts w:hint="default" w:ascii="Calibri" w:hAnsi="Calibri" w:cs="Calibri"/>
          <w:sz w:val="21"/>
          <w:szCs w:val="21"/>
        </w:rPr>
      </w:pPr>
      <w:r>
        <w:rPr>
          <w:rFonts w:ascii="仿宋" w:hAnsi="仿宋" w:eastAsia="仿宋" w:cs="仿宋"/>
          <w:i w:val="0"/>
          <w:iCs w:val="0"/>
          <w:caps w:val="0"/>
          <w:color w:val="000000"/>
          <w:spacing w:val="0"/>
          <w:kern w:val="0"/>
          <w:sz w:val="24"/>
          <w:szCs w:val="24"/>
          <w:bdr w:val="none" w:color="auto" w:sz="0" w:space="0"/>
          <w:shd w:val="clear" w:fill="FFFFFF"/>
          <w:lang w:val="en-US" w:eastAsia="zh-CN" w:bidi="ar"/>
        </w:rPr>
        <w:t>一、调剂</w:t>
      </w:r>
      <w:r>
        <w:rPr>
          <w:rStyle w:val="7"/>
          <w:rFonts w:hint="eastAsia" w:ascii="仿宋" w:hAnsi="仿宋" w:eastAsia="仿宋" w:cs="仿宋"/>
          <w:b/>
          <w:bCs/>
          <w:i w:val="0"/>
          <w:iCs w:val="0"/>
          <w:caps w:val="0"/>
          <w:color w:val="000000"/>
          <w:spacing w:val="0"/>
          <w:kern w:val="0"/>
          <w:sz w:val="24"/>
          <w:szCs w:val="24"/>
          <w:bdr w:val="none" w:color="auto" w:sz="0" w:space="0"/>
          <w:shd w:val="clear" w:fill="FFFFFF"/>
          <w:lang w:val="en-US" w:eastAsia="zh-CN" w:bidi="ar"/>
        </w:rPr>
        <w:t>基本原则和</w:t>
      </w: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要求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555"/>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1. 所有调剂考生（既包括接收外单位调剂考生，也包括接收本单位内部调剂考生）必须通过教育部指定的“全国硕士生招生调剂服务系统”办理调剂手续。调剂考生能否参加我校复试，以我校在“全国硕士生招生调剂服务系统”确认信息为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555"/>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2. 初试成绩须达到调出学科专业A区国家线专业复试资格线。符合招生简章中规定的调入专业的报考条件和学院规定的条件。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80"/>
        <w:jc w:val="both"/>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3. 调入专业与第一志愿报考专业相同或相近，应在同一学科门类范围内。</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80"/>
        <w:jc w:val="both"/>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4. 初试科目与调入专业初试科目相同或相近，其中初试全国统一命题科目应与调入专业全国统一命题科目相同。</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525"/>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5. 未考数学的考生一般情况不允许调入须考数学的专业（方向）。</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525"/>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6. 第一志愿报考工商管理、公共管理、旅游管理、工程管理、会计、图书情报、审计专业学位硕士的考生，在满足调入专业报考条件的基础上，可申请相互调剂，但不得调入其他专业；其他专业考生也不得调入以上专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525"/>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7. 第一志愿报考我校全日制专业的考生在复试合格后，在非全日制计划充足情况下，符合非全日制报考条件的，可调剂到对应非全日制专业录取。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525"/>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8. 我院不接收一志愿报考外单位“退役大学生士兵”专项计划考生调剂。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525"/>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9.考生必须确保所填报信息属实，如有虚假，我校将取消其调剂及录取资格。</w:t>
      </w:r>
    </w:p>
    <w:p>
      <w:pPr>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0" w:afterAutospacing="0" w:line="400" w:lineRule="atLeast"/>
        <w:ind w:left="0" w:right="0"/>
        <w:jc w:val="both"/>
        <w:rPr>
          <w:rFonts w:hint="default" w:ascii="Calibri" w:hAnsi="Calibri" w:cs="Calibri"/>
          <w:sz w:val="21"/>
          <w:szCs w:val="21"/>
        </w:rPr>
      </w:pPr>
      <w:r>
        <w:rPr>
          <w:rStyle w:val="7"/>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二、遴选原则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555"/>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按照调剂基本原则和要求，对申请同一招生单位同一专业、初试科目完全相同的调剂考生，按考生初试成绩择优遴选；对初试科目不同的调剂考生，可综合考虑考生初试成绩、本科知识结构、科研创新能力及综合素质等择优确定进入复试的考生名单。</w:t>
      </w:r>
    </w:p>
    <w:p>
      <w:pPr>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0" w:afterAutospacing="0" w:line="400" w:lineRule="atLeast"/>
        <w:ind w:left="0" w:right="0"/>
        <w:jc w:val="both"/>
        <w:rPr>
          <w:rFonts w:hint="default" w:ascii="Calibri" w:hAnsi="Calibri" w:cs="Calibri"/>
          <w:sz w:val="21"/>
          <w:szCs w:val="21"/>
        </w:rPr>
      </w:pPr>
      <w:r>
        <w:rPr>
          <w:rStyle w:val="7"/>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三、调剂流程</w:t>
      </w: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及注意事项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both"/>
        <w:rPr>
          <w:rFonts w:hint="default" w:ascii="Calibri" w:hAnsi="Calibri" w:cs="Calibri"/>
          <w:sz w:val="24"/>
          <w:szCs w:val="24"/>
        </w:rPr>
      </w:pPr>
      <w:r>
        <w:rPr>
          <w:rFonts w:hint="eastAsia" w:ascii="仿宋" w:hAnsi="仿宋" w:eastAsia="仿宋" w:cs="仿宋"/>
          <w:i w:val="0"/>
          <w:iCs w:val="0"/>
          <w:caps w:val="0"/>
          <w:color w:val="000000"/>
          <w:spacing w:val="0"/>
          <w:sz w:val="24"/>
          <w:szCs w:val="24"/>
          <w:bdr w:val="none" w:color="auto" w:sz="0" w:space="0"/>
          <w:shd w:val="clear" w:fill="FFFFFF"/>
        </w:rPr>
        <w:t>1.调剂考生(包括外单位调剂考生和本校调剂考生)必须通过教育部指定的“全国硕士生招生调剂服务系统”进行。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both"/>
        <w:rPr>
          <w:rFonts w:hint="default" w:ascii="Calibri" w:hAnsi="Calibri" w:cs="Calibri"/>
          <w:sz w:val="24"/>
          <w:szCs w:val="24"/>
        </w:rPr>
      </w:pPr>
      <w:r>
        <w:rPr>
          <w:rFonts w:hint="eastAsia" w:ascii="仿宋" w:hAnsi="仿宋" w:eastAsia="仿宋" w:cs="仿宋"/>
          <w:i w:val="0"/>
          <w:iCs w:val="0"/>
          <w:caps w:val="0"/>
          <w:color w:val="000000"/>
          <w:spacing w:val="0"/>
          <w:sz w:val="24"/>
          <w:szCs w:val="24"/>
          <w:bdr w:val="none" w:color="auto" w:sz="0" w:space="0"/>
          <w:shd w:val="clear" w:fill="FFFFFF"/>
        </w:rPr>
        <w:t>2.调剂系统每次开通不低于12小时。考生填报调剂志愿后，志愿会被学校锁定，我校设置志愿锁定时间24小时。志愿锁定期满后，如没有收到我校复试通知，考生可继续等待或改报其他志愿。</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525"/>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3.调剂系统关闭后，学院遴选调剂生并发送复试通知。调剂生能否参加我院复试，以我院在调剂系统确认信息为准，调剂复试资格人员名单将会在学院网站公布。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both"/>
        <w:rPr>
          <w:rFonts w:hint="default" w:ascii="Calibri" w:hAnsi="Calibri" w:cs="Calibri"/>
          <w:sz w:val="24"/>
          <w:szCs w:val="24"/>
        </w:rPr>
      </w:pPr>
      <w:r>
        <w:rPr>
          <w:rFonts w:hint="eastAsia" w:ascii="仿宋" w:hAnsi="仿宋" w:eastAsia="仿宋" w:cs="仿宋"/>
          <w:i w:val="0"/>
          <w:iCs w:val="0"/>
          <w:caps w:val="0"/>
          <w:color w:val="000000"/>
          <w:spacing w:val="0"/>
          <w:sz w:val="24"/>
          <w:szCs w:val="24"/>
          <w:bdr w:val="none" w:color="auto" w:sz="0" w:space="0"/>
          <w:shd w:val="clear" w:fill="FFFFFF"/>
        </w:rPr>
        <w:t>4.经复试被我校拟录取的调剂考生，将通过调剂系统发出待录取通知，考生应在规定时间内及时确认，逾期没有确认者视为主动放弃录取资格，我校将取消“待录取”资格，补录其他考生。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both"/>
        <w:rPr>
          <w:rFonts w:hint="default" w:ascii="Calibri" w:hAnsi="Calibri" w:cs="Calibri"/>
          <w:sz w:val="24"/>
          <w:szCs w:val="24"/>
        </w:rPr>
      </w:pPr>
      <w:r>
        <w:rPr>
          <w:rFonts w:hint="eastAsia" w:ascii="仿宋" w:hAnsi="仿宋" w:eastAsia="仿宋" w:cs="仿宋"/>
          <w:i w:val="0"/>
          <w:iCs w:val="0"/>
          <w:caps w:val="0"/>
          <w:color w:val="000000"/>
          <w:spacing w:val="0"/>
          <w:sz w:val="24"/>
          <w:szCs w:val="24"/>
          <w:bdr w:val="none" w:color="auto" w:sz="0" w:space="0"/>
          <w:shd w:val="clear" w:fill="FFFFFF"/>
        </w:rPr>
        <w:t>5.我院根据相关专业招生计划完成情况，确定是否再次开通调剂系统，请关注我校研究生院网站和我院网站公告。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525"/>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6.调剂报名考生务必保持手机畅通，学校将通过调剂系统发送复试及待录取通知，请收到通知的考生在规定时间内及时确认，并按要求进行相关工作，逾期不确认者取消资格。学院遴选调剂考生的过程中，如考生修改了申请调剂我校的志愿，视为主动放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525"/>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82"/>
        <w:jc w:val="both"/>
        <w:rPr>
          <w:rFonts w:hint="default" w:ascii="Calibri" w:hAnsi="Calibri" w:cs="Calibri"/>
          <w:sz w:val="21"/>
          <w:szCs w:val="21"/>
        </w:rPr>
      </w:pPr>
      <w:r>
        <w:rPr>
          <w:rStyle w:val="7"/>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四、拟接收调剂专业及指标</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80"/>
        <w:jc w:val="both"/>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 </w:t>
      </w:r>
    </w:p>
    <w:tbl>
      <w:tblPr>
        <w:tblW w:w="8505" w:type="dxa"/>
        <w:tblInd w:w="0" w:type="dxa"/>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Layout w:type="autofit"/>
        <w:tblCellMar>
          <w:top w:w="0" w:type="dxa"/>
          <w:left w:w="0" w:type="dxa"/>
          <w:bottom w:w="0" w:type="dxa"/>
          <w:right w:w="0" w:type="dxa"/>
        </w:tblCellMar>
      </w:tblPr>
      <w:tblGrid>
        <w:gridCol w:w="1402"/>
        <w:gridCol w:w="1410"/>
        <w:gridCol w:w="3195"/>
        <w:gridCol w:w="1560"/>
        <w:gridCol w:w="938"/>
      </w:tblGrid>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660" w:hRule="atLeast"/>
        </w:trPr>
        <w:tc>
          <w:tcPr>
            <w:tcW w:w="1402" w:type="dxa"/>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rPr>
                <w:rFonts w:hint="default" w:ascii="Calibri" w:hAnsi="Calibri" w:cs="Calibri"/>
                <w:sz w:val="21"/>
                <w:szCs w:val="21"/>
              </w:rPr>
            </w:pPr>
            <w:r>
              <w:rPr>
                <w:rStyle w:val="7"/>
                <w:rFonts w:hint="eastAsia" w:ascii="仿宋" w:hAnsi="仿宋" w:eastAsia="仿宋" w:cs="仿宋"/>
                <w:b/>
                <w:bCs/>
                <w:kern w:val="0"/>
                <w:sz w:val="24"/>
                <w:szCs w:val="24"/>
                <w:bdr w:val="none" w:color="auto" w:sz="0" w:space="0"/>
                <w:lang w:val="en-US" w:eastAsia="zh-CN" w:bidi="ar"/>
              </w:rPr>
              <w:t>学习方式</w:t>
            </w:r>
          </w:p>
        </w:tc>
        <w:tc>
          <w:tcPr>
            <w:tcW w:w="1410" w:type="dxa"/>
            <w:tcBorders>
              <w:top w:val="single" w:color="000000" w:sz="8" w:space="0"/>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rPr>
                <w:rFonts w:hint="default" w:ascii="Calibri" w:hAnsi="Calibri" w:cs="Calibri"/>
                <w:sz w:val="21"/>
                <w:szCs w:val="21"/>
              </w:rPr>
            </w:pPr>
            <w:r>
              <w:rPr>
                <w:rStyle w:val="7"/>
                <w:rFonts w:hint="eastAsia" w:ascii="仿宋" w:hAnsi="仿宋" w:eastAsia="仿宋" w:cs="仿宋"/>
                <w:b/>
                <w:bCs/>
                <w:kern w:val="0"/>
                <w:sz w:val="24"/>
                <w:szCs w:val="24"/>
                <w:bdr w:val="none" w:color="auto" w:sz="0" w:space="0"/>
                <w:lang w:val="en-US" w:eastAsia="zh-CN" w:bidi="ar"/>
              </w:rPr>
              <w:t>学位类型</w:t>
            </w:r>
          </w:p>
        </w:tc>
        <w:tc>
          <w:tcPr>
            <w:tcW w:w="3195" w:type="dxa"/>
            <w:tcBorders>
              <w:top w:val="single" w:color="000000" w:sz="8" w:space="0"/>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rPr>
                <w:rFonts w:hint="default" w:ascii="Calibri" w:hAnsi="Calibri" w:cs="Calibri"/>
                <w:sz w:val="21"/>
                <w:szCs w:val="21"/>
              </w:rPr>
            </w:pPr>
            <w:r>
              <w:rPr>
                <w:rStyle w:val="7"/>
                <w:rFonts w:hint="eastAsia" w:ascii="仿宋" w:hAnsi="仿宋" w:eastAsia="仿宋" w:cs="仿宋"/>
                <w:b/>
                <w:bCs/>
                <w:kern w:val="0"/>
                <w:sz w:val="24"/>
                <w:szCs w:val="24"/>
                <w:bdr w:val="none" w:color="auto" w:sz="0" w:space="0"/>
                <w:lang w:val="en-US" w:eastAsia="zh-CN" w:bidi="ar"/>
              </w:rPr>
              <w:t>专业代码及名称</w:t>
            </w:r>
          </w:p>
        </w:tc>
        <w:tc>
          <w:tcPr>
            <w:tcW w:w="1560" w:type="dxa"/>
            <w:tcBorders>
              <w:top w:val="single" w:color="000000" w:sz="8" w:space="0"/>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rPr>
                <w:rFonts w:hint="default" w:ascii="Calibri" w:hAnsi="Calibri" w:cs="Calibri"/>
                <w:sz w:val="21"/>
                <w:szCs w:val="21"/>
              </w:rPr>
            </w:pPr>
            <w:r>
              <w:rPr>
                <w:rStyle w:val="7"/>
                <w:rFonts w:hint="eastAsia" w:ascii="仿宋" w:hAnsi="仿宋" w:eastAsia="仿宋" w:cs="仿宋"/>
                <w:b/>
                <w:bCs/>
                <w:kern w:val="0"/>
                <w:sz w:val="24"/>
                <w:szCs w:val="24"/>
                <w:bdr w:val="none" w:color="auto" w:sz="0" w:space="0"/>
                <w:lang w:val="en-US" w:eastAsia="zh-CN" w:bidi="ar"/>
              </w:rPr>
              <w:t>拟接收调剂名额</w:t>
            </w:r>
          </w:p>
        </w:tc>
        <w:tc>
          <w:tcPr>
            <w:tcW w:w="938" w:type="dxa"/>
            <w:tcBorders>
              <w:top w:val="single" w:color="000000" w:sz="8" w:space="0"/>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rPr>
                <w:rFonts w:hint="default" w:ascii="Calibri" w:hAnsi="Calibri" w:cs="Calibri"/>
                <w:sz w:val="21"/>
                <w:szCs w:val="21"/>
              </w:rPr>
            </w:pPr>
            <w:r>
              <w:rPr>
                <w:rStyle w:val="7"/>
                <w:rFonts w:hint="eastAsia" w:ascii="仿宋" w:hAnsi="仿宋" w:eastAsia="仿宋" w:cs="仿宋"/>
                <w:b/>
                <w:bCs/>
                <w:kern w:val="0"/>
                <w:sz w:val="24"/>
                <w:szCs w:val="24"/>
                <w:bdr w:val="none" w:color="auto" w:sz="0" w:space="0"/>
                <w:lang w:val="en-US" w:eastAsia="zh-CN" w:bidi="ar"/>
              </w:rPr>
              <w:t>备注</w:t>
            </w: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1402" w:type="dxa"/>
            <w:tcBorders>
              <w:top w:val="nil"/>
              <w:left w:val="single" w:color="000000" w:sz="8" w:space="0"/>
              <w:bottom w:val="nil"/>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rPr>
                <w:rFonts w:hint="default" w:ascii="Calibri" w:hAnsi="Calibri" w:cs="Calibri"/>
                <w:sz w:val="21"/>
                <w:szCs w:val="21"/>
              </w:rPr>
            </w:pPr>
            <w:r>
              <w:rPr>
                <w:rFonts w:hint="eastAsia" w:ascii="仿宋" w:hAnsi="仿宋" w:eastAsia="仿宋" w:cs="仿宋"/>
                <w:kern w:val="0"/>
                <w:sz w:val="24"/>
                <w:szCs w:val="24"/>
                <w:bdr w:val="none" w:color="auto" w:sz="0" w:space="0"/>
                <w:lang w:val="en-US" w:eastAsia="zh-CN" w:bidi="ar"/>
              </w:rPr>
              <w:t>全日制</w:t>
            </w:r>
          </w:p>
        </w:tc>
        <w:tc>
          <w:tcPr>
            <w:tcW w:w="1410" w:type="dxa"/>
            <w:tcBorders>
              <w:top w:val="nil"/>
              <w:left w:val="nil"/>
              <w:bottom w:val="nil"/>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rPr>
                <w:rFonts w:hint="default" w:ascii="Calibri" w:hAnsi="Calibri" w:cs="Calibri"/>
                <w:sz w:val="21"/>
                <w:szCs w:val="21"/>
              </w:rPr>
            </w:pPr>
            <w:r>
              <w:rPr>
                <w:rFonts w:hint="eastAsia" w:ascii="仿宋" w:hAnsi="仿宋" w:eastAsia="仿宋" w:cs="仿宋"/>
                <w:kern w:val="0"/>
                <w:sz w:val="24"/>
                <w:szCs w:val="24"/>
                <w:bdr w:val="none" w:color="auto" w:sz="0" w:space="0"/>
                <w:lang w:val="en-US" w:eastAsia="zh-CN" w:bidi="ar"/>
              </w:rPr>
              <w:t>学术型</w:t>
            </w:r>
          </w:p>
        </w:tc>
        <w:tc>
          <w:tcPr>
            <w:tcW w:w="3195" w:type="dxa"/>
            <w:tcBorders>
              <w:top w:val="nil"/>
              <w:left w:val="nil"/>
              <w:bottom w:val="nil"/>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rPr>
                <w:rFonts w:hint="default" w:ascii="Calibri" w:hAnsi="Calibri" w:cs="Calibri"/>
                <w:sz w:val="21"/>
                <w:szCs w:val="21"/>
              </w:rPr>
            </w:pPr>
            <w:r>
              <w:rPr>
                <w:rFonts w:hint="eastAsia" w:ascii="仿宋" w:hAnsi="仿宋" w:eastAsia="仿宋" w:cs="仿宋"/>
                <w:kern w:val="0"/>
                <w:sz w:val="24"/>
                <w:szCs w:val="24"/>
                <w:bdr w:val="none" w:color="auto" w:sz="0" w:space="0"/>
                <w:lang w:val="en-US" w:eastAsia="zh-CN" w:bidi="ar"/>
              </w:rPr>
              <w:t>081400土木工程</w:t>
            </w:r>
          </w:p>
        </w:tc>
        <w:tc>
          <w:tcPr>
            <w:tcW w:w="1560" w:type="dxa"/>
            <w:tcBorders>
              <w:top w:val="nil"/>
              <w:left w:val="nil"/>
              <w:bottom w:val="nil"/>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rPr>
                <w:rFonts w:hint="default" w:ascii="Calibri" w:hAnsi="Calibri" w:cs="Calibri"/>
                <w:sz w:val="21"/>
                <w:szCs w:val="21"/>
              </w:rPr>
            </w:pPr>
            <w:r>
              <w:rPr>
                <w:rFonts w:hint="eastAsia" w:ascii="仿宋" w:hAnsi="仿宋" w:eastAsia="仿宋" w:cs="仿宋"/>
                <w:kern w:val="0"/>
                <w:sz w:val="24"/>
                <w:szCs w:val="24"/>
                <w:bdr w:val="none" w:color="auto" w:sz="0" w:space="0"/>
                <w:lang w:val="en-US" w:eastAsia="zh-CN" w:bidi="ar"/>
              </w:rPr>
              <w:t>9</w:t>
            </w:r>
          </w:p>
        </w:tc>
        <w:tc>
          <w:tcPr>
            <w:tcW w:w="938"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rPr>
                <w:rFonts w:hint="default" w:ascii="Calibri" w:hAnsi="Calibri" w:cs="Calibri"/>
                <w:sz w:val="21"/>
                <w:szCs w:val="21"/>
              </w:rPr>
            </w:pPr>
            <w:r>
              <w:rPr>
                <w:rFonts w:hint="eastAsia" w:ascii="仿宋" w:hAnsi="仿宋" w:eastAsia="仿宋" w:cs="仿宋"/>
                <w:kern w:val="0"/>
                <w:sz w:val="24"/>
                <w:szCs w:val="24"/>
                <w:bdr w:val="none" w:color="auto" w:sz="0" w:space="0"/>
                <w:lang w:val="en-US" w:eastAsia="zh-CN" w:bidi="ar"/>
              </w:rPr>
              <w:t> </w:t>
            </w: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1402" w:type="dxa"/>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rPr>
                <w:rFonts w:hint="default" w:ascii="Calibri" w:hAnsi="Calibri" w:cs="Calibri"/>
                <w:sz w:val="21"/>
                <w:szCs w:val="21"/>
              </w:rPr>
            </w:pPr>
            <w:r>
              <w:rPr>
                <w:rFonts w:hint="eastAsia" w:ascii="仿宋" w:hAnsi="仿宋" w:eastAsia="仿宋" w:cs="仿宋"/>
                <w:kern w:val="0"/>
                <w:sz w:val="24"/>
                <w:szCs w:val="24"/>
                <w:bdr w:val="none" w:color="auto" w:sz="0" w:space="0"/>
                <w:lang w:val="en-US" w:eastAsia="zh-CN" w:bidi="ar"/>
              </w:rPr>
              <w:t>非全日制</w:t>
            </w:r>
          </w:p>
        </w:tc>
        <w:tc>
          <w:tcPr>
            <w:tcW w:w="1410" w:type="dxa"/>
            <w:tcBorders>
              <w:top w:val="single" w:color="000000" w:sz="8" w:space="0"/>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rPr>
                <w:rFonts w:hint="default" w:ascii="Calibri" w:hAnsi="Calibri" w:cs="Calibri"/>
                <w:sz w:val="21"/>
                <w:szCs w:val="21"/>
              </w:rPr>
            </w:pPr>
            <w:r>
              <w:rPr>
                <w:rFonts w:hint="eastAsia" w:ascii="仿宋" w:hAnsi="仿宋" w:eastAsia="仿宋" w:cs="仿宋"/>
                <w:kern w:val="0"/>
                <w:sz w:val="24"/>
                <w:szCs w:val="24"/>
                <w:bdr w:val="none" w:color="auto" w:sz="0" w:space="0"/>
                <w:lang w:val="en-US" w:eastAsia="zh-CN" w:bidi="ar"/>
              </w:rPr>
              <w:t>专业型</w:t>
            </w:r>
          </w:p>
        </w:tc>
        <w:tc>
          <w:tcPr>
            <w:tcW w:w="3195" w:type="dxa"/>
            <w:tcBorders>
              <w:top w:val="single" w:color="000000" w:sz="8" w:space="0"/>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rPr>
                <w:rFonts w:hint="default" w:ascii="Calibri" w:hAnsi="Calibri" w:cs="Calibri"/>
                <w:sz w:val="21"/>
                <w:szCs w:val="21"/>
              </w:rPr>
            </w:pPr>
            <w:r>
              <w:rPr>
                <w:rFonts w:hint="eastAsia" w:ascii="仿宋" w:hAnsi="仿宋" w:eastAsia="仿宋" w:cs="仿宋"/>
                <w:kern w:val="0"/>
                <w:sz w:val="24"/>
                <w:szCs w:val="24"/>
                <w:bdr w:val="none" w:color="auto" w:sz="0" w:space="0"/>
                <w:lang w:val="en-US" w:eastAsia="zh-CN" w:bidi="ar"/>
              </w:rPr>
              <w:t>125600工程管理（MEM）</w:t>
            </w:r>
          </w:p>
        </w:tc>
        <w:tc>
          <w:tcPr>
            <w:tcW w:w="1560" w:type="dxa"/>
            <w:tcBorders>
              <w:top w:val="single" w:color="000000" w:sz="8" w:space="0"/>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rPr>
                <w:rFonts w:hint="default" w:ascii="Calibri" w:hAnsi="Calibri" w:cs="Calibri"/>
                <w:sz w:val="21"/>
                <w:szCs w:val="21"/>
              </w:rPr>
            </w:pPr>
            <w:r>
              <w:rPr>
                <w:rFonts w:hint="eastAsia" w:ascii="仿宋" w:hAnsi="仿宋" w:eastAsia="仿宋" w:cs="仿宋"/>
                <w:kern w:val="0"/>
                <w:sz w:val="24"/>
                <w:szCs w:val="24"/>
                <w:bdr w:val="none" w:color="auto" w:sz="0" w:space="0"/>
                <w:lang w:val="en-US" w:eastAsia="zh-CN" w:bidi="ar"/>
              </w:rPr>
              <w:t>27</w:t>
            </w:r>
          </w:p>
        </w:tc>
        <w:tc>
          <w:tcPr>
            <w:tcW w:w="938"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rPr>
                <w:rFonts w:hint="default" w:ascii="Calibri" w:hAnsi="Calibri" w:cs="Calibri"/>
                <w:sz w:val="21"/>
                <w:szCs w:val="21"/>
              </w:rPr>
            </w:pPr>
            <w:r>
              <w:rPr>
                <w:rFonts w:hint="eastAsia" w:ascii="仿宋" w:hAnsi="仿宋" w:eastAsia="仿宋" w:cs="仿宋"/>
                <w:kern w:val="0"/>
                <w:sz w:val="24"/>
                <w:szCs w:val="24"/>
                <w:bdr w:val="none" w:color="auto" w:sz="0" w:space="0"/>
                <w:lang w:val="en-US" w:eastAsia="zh-CN" w:bidi="ar"/>
              </w:rPr>
              <w:t> </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both"/>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注：具体调剂专业、调剂要求等信息，请以“研招网”调剂系统发布的信息为准。</w:t>
      </w:r>
    </w:p>
    <w:p>
      <w:pPr>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0" w:afterAutospacing="0" w:line="400" w:lineRule="atLeast"/>
        <w:ind w:left="0" w:right="0"/>
        <w:jc w:val="both"/>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五、调剂复试组织</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555"/>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结合我院学科专业特点，我院2023年第二批硕士研究生调剂复试采取线上复试形式。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555"/>
        <w:jc w:val="left"/>
        <w:rPr>
          <w:rFonts w:hint="default" w:ascii="Calibri" w:hAnsi="Calibri" w:cs="Calibri"/>
          <w:sz w:val="21"/>
          <w:szCs w:val="21"/>
        </w:rPr>
      </w:pPr>
      <w:r>
        <w:rPr>
          <w:rStyle w:val="7"/>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我院线上复试专业的复试办法参照我院发布的复试工作实施细则进行，具体安排如下：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555"/>
        <w:jc w:val="left"/>
        <w:rPr>
          <w:rFonts w:hint="default" w:ascii="Calibri" w:hAnsi="Calibri" w:cs="Calibri"/>
          <w:sz w:val="21"/>
          <w:szCs w:val="21"/>
        </w:rPr>
      </w:pPr>
      <w:r>
        <w:rPr>
          <w:rStyle w:val="7"/>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w:t>
      </w:r>
      <w:r>
        <w:rPr>
          <w:rStyle w:val="7"/>
          <w:rFonts w:hint="default" w:ascii="Calibri" w:hAnsi="Calibri" w:eastAsia="宋体" w:cs="Calibri"/>
          <w:i w:val="0"/>
          <w:iCs w:val="0"/>
          <w:caps w:val="0"/>
          <w:color w:val="000000"/>
          <w:spacing w:val="0"/>
          <w:kern w:val="0"/>
          <w:sz w:val="24"/>
          <w:szCs w:val="24"/>
          <w:bdr w:val="none" w:color="auto" w:sz="0" w:space="0"/>
          <w:shd w:val="clear" w:fill="FFFFFF"/>
          <w:lang w:val="en-US" w:eastAsia="zh-CN" w:bidi="ar"/>
        </w:rPr>
        <w:t>1</w:t>
      </w:r>
      <w:r>
        <w:rPr>
          <w:rStyle w:val="7"/>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）复试形式及内容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555"/>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我院2023年硕士研究生调剂考生复试采取网络远程复试形式进行，选用腾讯会议APP作为复试平台。双机位操作流程会在群中发布。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555"/>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复试满分200分，包括综合面试（150分）和外国语听力与口语水平测试（50分），均以面试方式进行。每名考生面试时间原则上不低于20分钟。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555"/>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一）综合面试。综合面试对考生的思想政治素质和品德、专业素质和能力、综合素养及身心状况方面等进行考察，了解考生综合运用所学知识分析问题、解决问题的能力，同时也了解考生的思维能力、反应速度、治学态度、专业技能、个人志趣与特点，是否具有创新意识和创新精神。</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555"/>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二）外国语听力与口语水平测试。了解考生外国语听说表达能力，给出不同主题，由考生围绕所选主题作答。测试内容包括日常对话、广播新闻、专业外文文献等。同等学力考核通过面试进行加试，考核成绩不计入总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555"/>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522"/>
        <w:jc w:val="left"/>
        <w:rPr>
          <w:rFonts w:hint="default" w:ascii="Calibri" w:hAnsi="Calibri" w:cs="Calibri"/>
          <w:sz w:val="24"/>
          <w:szCs w:val="24"/>
        </w:rPr>
      </w:pPr>
      <w:r>
        <w:rPr>
          <w:rFonts w:hint="eastAsia" w:ascii="仿宋" w:hAnsi="仿宋" w:eastAsia="仿宋" w:cs="仿宋"/>
          <w:i w:val="0"/>
          <w:iCs w:val="0"/>
          <w:caps w:val="0"/>
          <w:color w:val="000000"/>
          <w:spacing w:val="0"/>
          <w:sz w:val="28"/>
          <w:szCs w:val="28"/>
          <w:bdr w:val="none" w:color="auto" w:sz="0" w:space="0"/>
          <w:shd w:val="clear" w:fill="FFFFFF"/>
        </w:rPr>
        <w:t>（2）复试流程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555"/>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2023年4月11日18：30前提交复试资格审查材料电子档。</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555"/>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2023年4月11日18：30-20:00完成系统测试。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555"/>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2023年4月11日20：00前完成缴费。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555"/>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2023年4月12日8：30开始复试，具体安排见群通知。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555"/>
        <w:jc w:val="left"/>
        <w:rPr>
          <w:rFonts w:hint="default" w:ascii="Calibri" w:hAnsi="Calibri" w:cs="Calibri"/>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both"/>
        <w:rPr>
          <w:rFonts w:ascii="Calibri" w:hAnsi="Calibri" w:eastAsia="Calibri" w:cs="Calibri"/>
          <w:i w:val="0"/>
          <w:iCs w:val="0"/>
          <w:color w:val="000000"/>
          <w:spacing w:val="0"/>
          <w:sz w:val="14"/>
          <w:szCs w:val="14"/>
        </w:rPr>
      </w:pPr>
      <w:r>
        <w:rPr>
          <w:rFonts w:hint="eastAsia" w:ascii="仿宋" w:hAnsi="仿宋" w:eastAsia="仿宋" w:cs="仿宋"/>
          <w:i w:val="0"/>
          <w:iCs w:val="0"/>
          <w:caps w:val="0"/>
          <w:color w:val="000000"/>
          <w:spacing w:val="0"/>
          <w:sz w:val="16"/>
          <w:szCs w:val="16"/>
          <w:bdr w:val="none" w:color="auto" w:sz="0" w:space="0"/>
          <w:shd w:val="clear" w:fill="FFFFFF"/>
        </w:rPr>
        <w:t>考生资格审查须提交以下材料电子版：</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both"/>
        <w:rPr>
          <w:rFonts w:hint="default" w:ascii="Calibri" w:hAnsi="Calibri" w:eastAsia="Calibri" w:cs="Calibri"/>
          <w:i w:val="0"/>
          <w:iCs w:val="0"/>
          <w:color w:val="000000"/>
          <w:spacing w:val="0"/>
          <w:sz w:val="14"/>
          <w:szCs w:val="14"/>
        </w:rPr>
      </w:pPr>
      <w:r>
        <w:rPr>
          <w:rFonts w:hint="eastAsia" w:ascii="仿宋" w:hAnsi="仿宋" w:eastAsia="仿宋" w:cs="仿宋"/>
          <w:i w:val="0"/>
          <w:iCs w:val="0"/>
          <w:caps w:val="0"/>
          <w:color w:val="000000"/>
          <w:spacing w:val="0"/>
          <w:sz w:val="16"/>
          <w:szCs w:val="16"/>
          <w:bdr w:val="none" w:color="auto" w:sz="0" w:space="0"/>
          <w:shd w:val="clear" w:fill="FFFFFF"/>
        </w:rPr>
        <w:t>（1）居民身份证原件正反面；</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default" w:ascii="Calibri" w:hAnsi="Calibri" w:eastAsia="Calibri" w:cs="Calibri"/>
          <w:i w:val="0"/>
          <w:iCs w:val="0"/>
          <w:color w:val="000000"/>
          <w:spacing w:val="0"/>
          <w:sz w:val="14"/>
          <w:szCs w:val="14"/>
        </w:rPr>
      </w:pPr>
      <w:r>
        <w:rPr>
          <w:rFonts w:hint="eastAsia" w:ascii="仿宋" w:hAnsi="仿宋" w:eastAsia="仿宋" w:cs="仿宋"/>
          <w:i w:val="0"/>
          <w:iCs w:val="0"/>
          <w:caps w:val="0"/>
          <w:color w:val="000000"/>
          <w:spacing w:val="0"/>
          <w:sz w:val="16"/>
          <w:szCs w:val="16"/>
          <w:bdr w:val="none" w:color="auto" w:sz="0" w:space="0"/>
          <w:shd w:val="clear" w:fill="FFFFFF"/>
        </w:rPr>
        <w:t>（2）全国硕士研究生招生考试准考证；</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default" w:ascii="Calibri" w:hAnsi="Calibri" w:eastAsia="Calibri" w:cs="Calibri"/>
          <w:i w:val="0"/>
          <w:iCs w:val="0"/>
          <w:color w:val="000000"/>
          <w:spacing w:val="0"/>
          <w:sz w:val="14"/>
          <w:szCs w:val="14"/>
        </w:rPr>
      </w:pPr>
      <w:r>
        <w:rPr>
          <w:rFonts w:hint="eastAsia" w:ascii="仿宋" w:hAnsi="仿宋" w:eastAsia="仿宋" w:cs="仿宋"/>
          <w:i w:val="0"/>
          <w:iCs w:val="0"/>
          <w:caps w:val="0"/>
          <w:color w:val="000000"/>
          <w:spacing w:val="0"/>
          <w:sz w:val="16"/>
          <w:szCs w:val="16"/>
          <w:bdr w:val="none" w:color="auto" w:sz="0" w:space="0"/>
          <w:shd w:val="clear" w:fill="FFFFFF"/>
        </w:rPr>
        <w:t>（3）应届考生学生证（或《教育部学籍在线验证报告》）和大学成绩单；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default" w:ascii="Calibri" w:hAnsi="Calibri" w:eastAsia="Calibri" w:cs="Calibri"/>
          <w:i w:val="0"/>
          <w:iCs w:val="0"/>
          <w:color w:val="000000"/>
          <w:spacing w:val="0"/>
          <w:sz w:val="14"/>
          <w:szCs w:val="14"/>
        </w:rPr>
      </w:pPr>
      <w:r>
        <w:rPr>
          <w:rFonts w:hint="eastAsia" w:ascii="仿宋" w:hAnsi="仿宋" w:eastAsia="仿宋" w:cs="仿宋"/>
          <w:i w:val="0"/>
          <w:iCs w:val="0"/>
          <w:caps w:val="0"/>
          <w:color w:val="000000"/>
          <w:spacing w:val="0"/>
          <w:sz w:val="16"/>
          <w:szCs w:val="16"/>
          <w:bdr w:val="none" w:color="auto" w:sz="0" w:space="0"/>
          <w:shd w:val="clear" w:fill="FFFFFF"/>
        </w:rPr>
        <w:t>（4）往届考生的学历学位证书或《教育部学历证书电子注册备案表》；</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default" w:ascii="Calibri" w:hAnsi="Calibri" w:eastAsia="Calibri" w:cs="Calibri"/>
          <w:i w:val="0"/>
          <w:iCs w:val="0"/>
          <w:color w:val="000000"/>
          <w:spacing w:val="0"/>
          <w:sz w:val="14"/>
          <w:szCs w:val="14"/>
        </w:rPr>
      </w:pPr>
      <w:r>
        <w:rPr>
          <w:rFonts w:hint="eastAsia" w:ascii="仿宋" w:hAnsi="仿宋" w:eastAsia="仿宋" w:cs="仿宋"/>
          <w:i w:val="0"/>
          <w:iCs w:val="0"/>
          <w:caps w:val="0"/>
          <w:color w:val="000000"/>
          <w:spacing w:val="0"/>
          <w:sz w:val="16"/>
          <w:szCs w:val="16"/>
          <w:bdr w:val="none" w:color="auto" w:sz="0" w:space="0"/>
          <w:shd w:val="clear" w:fill="FFFFFF"/>
        </w:rPr>
        <w:t>（5）国外学历考生提供学历认证报告；</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default" w:ascii="Calibri" w:hAnsi="Calibri" w:eastAsia="Calibri" w:cs="Calibri"/>
          <w:i w:val="0"/>
          <w:iCs w:val="0"/>
          <w:color w:val="000000"/>
          <w:spacing w:val="0"/>
          <w:sz w:val="14"/>
          <w:szCs w:val="14"/>
        </w:rPr>
      </w:pPr>
      <w:r>
        <w:rPr>
          <w:rFonts w:hint="eastAsia" w:ascii="仿宋" w:hAnsi="仿宋" w:eastAsia="仿宋" w:cs="仿宋"/>
          <w:i w:val="0"/>
          <w:iCs w:val="0"/>
          <w:caps w:val="0"/>
          <w:color w:val="000000"/>
          <w:spacing w:val="0"/>
          <w:sz w:val="16"/>
          <w:szCs w:val="16"/>
          <w:bdr w:val="none" w:color="auto" w:sz="0" w:space="0"/>
          <w:shd w:val="clear" w:fill="FFFFFF"/>
        </w:rPr>
        <w:t>（6）报考非全日制的考生还须提供所在单位同意定向攻读硕士研究生的证明材料（拟录取阶段须提供定向协议）；</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default" w:ascii="Calibri" w:hAnsi="Calibri" w:eastAsia="Calibri" w:cs="Calibri"/>
          <w:i w:val="0"/>
          <w:iCs w:val="0"/>
          <w:color w:val="000000"/>
          <w:spacing w:val="0"/>
          <w:sz w:val="14"/>
          <w:szCs w:val="14"/>
        </w:rPr>
      </w:pPr>
      <w:r>
        <w:rPr>
          <w:rFonts w:hint="eastAsia" w:ascii="仿宋" w:hAnsi="仿宋" w:eastAsia="仿宋" w:cs="仿宋"/>
          <w:i w:val="0"/>
          <w:iCs w:val="0"/>
          <w:caps w:val="0"/>
          <w:color w:val="000000"/>
          <w:spacing w:val="0"/>
          <w:sz w:val="16"/>
          <w:szCs w:val="16"/>
          <w:bdr w:val="none" w:color="auto" w:sz="0" w:space="0"/>
          <w:shd w:val="clear" w:fill="FFFFFF"/>
        </w:rPr>
        <w:t>（7）湖北工业大学研究生复试思想政治素质和品德考核表见群文件；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320"/>
        <w:jc w:val="left"/>
        <w:rPr>
          <w:rFonts w:hint="default" w:ascii="Calibri" w:hAnsi="Calibri" w:eastAsia="Calibri" w:cs="Calibri"/>
          <w:i w:val="0"/>
          <w:iCs w:val="0"/>
          <w:color w:val="000000"/>
          <w:spacing w:val="0"/>
          <w:sz w:val="14"/>
          <w:szCs w:val="14"/>
        </w:rPr>
      </w:pPr>
      <w:r>
        <w:rPr>
          <w:rFonts w:hint="eastAsia" w:ascii="仿宋" w:hAnsi="仿宋" w:eastAsia="仿宋" w:cs="仿宋"/>
          <w:i w:val="0"/>
          <w:iCs w:val="0"/>
          <w:caps w:val="0"/>
          <w:color w:val="000000"/>
          <w:spacing w:val="0"/>
          <w:sz w:val="16"/>
          <w:szCs w:val="16"/>
          <w:bdr w:val="none" w:color="auto" w:sz="0" w:space="0"/>
          <w:shd w:val="clear" w:fill="FFFFFF"/>
        </w:rPr>
        <w:t>以上材料按照顺序排版到一个PDF文件中,以姓名命名后，于4月11日下午18:30前发到</w:t>
      </w:r>
      <w:r>
        <w:rPr>
          <w:rFonts w:hint="eastAsia" w:ascii="仿宋" w:hAnsi="仿宋" w:eastAsia="仿宋" w:cs="仿宋"/>
          <w:i w:val="0"/>
          <w:iCs w:val="0"/>
          <w:caps w:val="0"/>
          <w:spacing w:val="0"/>
          <w:sz w:val="16"/>
          <w:szCs w:val="16"/>
          <w:u w:val="none"/>
          <w:bdr w:val="none" w:color="auto" w:sz="0" w:space="0"/>
          <w:shd w:val="clear" w:fill="FFFFFF"/>
        </w:rPr>
        <w:fldChar w:fldCharType="begin"/>
      </w:r>
      <w:r>
        <w:rPr>
          <w:rFonts w:hint="eastAsia" w:ascii="仿宋" w:hAnsi="仿宋" w:eastAsia="仿宋" w:cs="仿宋"/>
          <w:i w:val="0"/>
          <w:iCs w:val="0"/>
          <w:caps w:val="0"/>
          <w:spacing w:val="0"/>
          <w:sz w:val="16"/>
          <w:szCs w:val="16"/>
          <w:u w:val="none"/>
          <w:bdr w:val="none" w:color="auto" w:sz="0" w:space="0"/>
          <w:shd w:val="clear" w:fill="FFFFFF"/>
        </w:rPr>
        <w:instrText xml:space="preserve"> HYPERLINK "mailto:wtmwsl@163.com" </w:instrText>
      </w:r>
      <w:r>
        <w:rPr>
          <w:rFonts w:hint="eastAsia" w:ascii="仿宋" w:hAnsi="仿宋" w:eastAsia="仿宋" w:cs="仿宋"/>
          <w:i w:val="0"/>
          <w:iCs w:val="0"/>
          <w:caps w:val="0"/>
          <w:spacing w:val="0"/>
          <w:sz w:val="16"/>
          <w:szCs w:val="16"/>
          <w:u w:val="none"/>
          <w:bdr w:val="none" w:color="auto" w:sz="0" w:space="0"/>
          <w:shd w:val="clear" w:fill="FFFFFF"/>
        </w:rPr>
        <w:fldChar w:fldCharType="separate"/>
      </w:r>
      <w:r>
        <w:rPr>
          <w:rStyle w:val="8"/>
          <w:rFonts w:hint="eastAsia" w:ascii="仿宋" w:hAnsi="仿宋" w:eastAsia="仿宋" w:cs="仿宋"/>
          <w:i w:val="0"/>
          <w:iCs w:val="0"/>
          <w:caps w:val="0"/>
          <w:spacing w:val="0"/>
          <w:sz w:val="16"/>
          <w:szCs w:val="16"/>
          <w:u w:val="none"/>
          <w:bdr w:val="none" w:color="auto" w:sz="0" w:space="0"/>
          <w:shd w:val="clear" w:fill="FFFFFF"/>
        </w:rPr>
        <w:t>wtmwsl@163.com</w:t>
      </w:r>
      <w:r>
        <w:rPr>
          <w:rFonts w:hint="eastAsia" w:ascii="仿宋" w:hAnsi="仿宋" w:eastAsia="仿宋" w:cs="仿宋"/>
          <w:i w:val="0"/>
          <w:iCs w:val="0"/>
          <w:caps w:val="0"/>
          <w:spacing w:val="0"/>
          <w:sz w:val="16"/>
          <w:szCs w:val="16"/>
          <w:u w:val="none"/>
          <w:bdr w:val="none" w:color="auto" w:sz="0" w:space="0"/>
          <w:shd w:val="clear" w:fill="FFFFFF"/>
        </w:rPr>
        <w:fldChar w:fldCharType="end"/>
      </w:r>
      <w:r>
        <w:rPr>
          <w:rFonts w:hint="eastAsia" w:ascii="仿宋" w:hAnsi="仿宋" w:eastAsia="仿宋" w:cs="仿宋"/>
          <w:i w:val="0"/>
          <w:iCs w:val="0"/>
          <w:caps w:val="0"/>
          <w:color w:val="000000"/>
          <w:spacing w:val="0"/>
          <w:sz w:val="16"/>
          <w:szCs w:val="16"/>
          <w:bdr w:val="none" w:color="auto" w:sz="0" w:space="0"/>
          <w:shd w:val="clear" w:fill="FFFFFF"/>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555"/>
        <w:jc w:val="left"/>
        <w:rPr>
          <w:rFonts w:hint="default" w:ascii="Calibri" w:hAnsi="Calibri" w:cs="Calibri"/>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522"/>
        <w:jc w:val="left"/>
        <w:textAlignment w:val="baseline"/>
        <w:rPr>
          <w:rFonts w:hint="default" w:ascii="Calibri" w:hAnsi="Calibri" w:cs="Calibri"/>
          <w:sz w:val="24"/>
          <w:szCs w:val="24"/>
        </w:rPr>
      </w:pPr>
      <w:r>
        <w:rPr>
          <w:rFonts w:hint="eastAsia" w:ascii="仿宋" w:hAnsi="仿宋" w:eastAsia="仿宋" w:cs="仿宋"/>
          <w:i w:val="0"/>
          <w:iCs w:val="0"/>
          <w:caps w:val="0"/>
          <w:color w:val="000000"/>
          <w:spacing w:val="0"/>
          <w:sz w:val="28"/>
          <w:szCs w:val="28"/>
          <w:bdr w:val="none" w:color="auto" w:sz="0" w:space="0"/>
          <w:shd w:val="clear" w:fill="FFFFFF"/>
          <w:vertAlign w:val="baseline"/>
        </w:rPr>
        <w:t>（3）其他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555"/>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其他未说明的事项，参照我院发布的复试工作实施细则进行。</w:t>
      </w:r>
    </w:p>
    <w:p>
      <w:pPr>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0" w:afterAutospacing="0" w:line="400" w:lineRule="atLeast"/>
        <w:ind w:left="0" w:right="0" w:firstLine="482"/>
        <w:jc w:val="both"/>
        <w:rPr>
          <w:rFonts w:hint="default" w:ascii="Calibri" w:hAnsi="Calibri" w:cs="Calibri"/>
          <w:sz w:val="21"/>
          <w:szCs w:val="21"/>
        </w:rPr>
      </w:pPr>
      <w:r>
        <w:rPr>
          <w:rStyle w:val="7"/>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六、培养方式及学制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555"/>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1. 全日制硕士研究生：全脱产，学制3年，人事档案需在入学前转入学校。</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555"/>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2. 非全日制硕士研究生：非脱产，学制3年；原则上招收在职定向就业人员，需在录取前与学校、用人单位签订定向协议；课程教学一般安排在周末、节假日或线上教学，学生可结合自己工作实际完成学业学习、实践、毕业论文答辩等环节。</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2"/>
        <w:jc w:val="both"/>
        <w:rPr>
          <w:rFonts w:hint="default" w:ascii="Calibri" w:hAnsi="Calibri" w:cs="Calibri"/>
          <w:sz w:val="24"/>
          <w:szCs w:val="24"/>
        </w:rPr>
      </w:pPr>
      <w:r>
        <w:rPr>
          <w:rStyle w:val="7"/>
          <w:rFonts w:hint="eastAsia" w:ascii="仿宋" w:hAnsi="仿宋" w:eastAsia="仿宋" w:cs="仿宋"/>
          <w:i w:val="0"/>
          <w:iCs w:val="0"/>
          <w:caps w:val="0"/>
          <w:color w:val="000000"/>
          <w:spacing w:val="0"/>
          <w:sz w:val="24"/>
          <w:szCs w:val="24"/>
          <w:bdr w:val="none" w:color="auto" w:sz="0" w:space="0"/>
          <w:shd w:val="clear" w:fill="FFFFFF"/>
        </w:rPr>
        <w:t>六、学费标准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555"/>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1.全日制硕士研究生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555"/>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0.8万元/年。</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555"/>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2.非全日制硕士研究生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555"/>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工程管理专业型硕士2.8万元/年，其他专业均为1万元/年。</w:t>
      </w:r>
    </w:p>
    <w:p>
      <w:pPr>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0" w:afterAutospacing="0" w:line="400" w:lineRule="atLeast"/>
        <w:ind w:left="0" w:right="0"/>
        <w:jc w:val="both"/>
        <w:rPr>
          <w:rFonts w:hint="default" w:ascii="Calibri" w:hAnsi="Calibri" w:cs="Calibri"/>
          <w:sz w:val="21"/>
          <w:szCs w:val="21"/>
        </w:rPr>
      </w:pPr>
      <w:r>
        <w:rPr>
          <w:rStyle w:val="7"/>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八、奖助政策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525"/>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1.全日制硕士研究生（人事档案转入学校，无固定工资收入，非定向类别）：</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555"/>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（1）符合国家政策的研究生将获得国家助学金0.6万元/人/年。</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555"/>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（2）经评选获得研究生国家奖学金者奖励2万元/人/年。</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555"/>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3）学业奖学金分一、二、三等，奖励金额及覆盖比例分别为1万元/人/年（20%）、0.6万元/人/年（20%）、0.3万元/人/年（30%）。调剂考生须知：一年级硕士新生根据复试办法计算排名，原则上在学科专业范围内进行评选，在学校分配的名额内优先评选一志愿报考我校的普通全日制本科毕业生，详情查阅《湖北工业大学研究生奖助学金管理办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555"/>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（4）学校另设有学术科技创新专项奖助金、研究生“三助”等奖助项目，详见《湖北工业大学研究生奖助学金管理办法》等文件。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555"/>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（5）相关学院还设有不同类别的研究生社会奖学金，用于奖励在科研成果、学习成绩、社会活动等方面表现突出的硕士研究生。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555"/>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2.非全日制研究生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555"/>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非全日制硕士研究生原则上招收在职定向就业人员，按定向培养政策执行，不享受国家和学校提供的奖助学金。</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555"/>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3.若本校对上述奖助标准及激励机制进行重新修订，以最新文件精神为准。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left"/>
        <w:rPr>
          <w:rFonts w:hint="default" w:ascii="Calibri" w:hAnsi="Calibri" w:cs="Calibri"/>
          <w:sz w:val="24"/>
          <w:szCs w:val="24"/>
        </w:rPr>
      </w:pPr>
      <w:r>
        <w:rPr>
          <w:rFonts w:hint="eastAsia" w:ascii="仿宋" w:hAnsi="仿宋" w:eastAsia="仿宋" w:cs="仿宋"/>
          <w:i w:val="0"/>
          <w:iCs w:val="0"/>
          <w:caps w:val="0"/>
          <w:color w:val="000000"/>
          <w:spacing w:val="0"/>
          <w:sz w:val="28"/>
          <w:szCs w:val="28"/>
          <w:bdr w:val="none" w:color="auto" w:sz="0" w:space="0"/>
          <w:shd w:val="clear" w:fill="FFFFFF"/>
        </w:rPr>
        <w:t>九、我院拟安排调剂报名时间</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555"/>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第一次开放时间4月10日 12：00。</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555"/>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申请调剂考生须及时登录“全国硕士研究生招生调剂服务系统”，查看我院调剂信息，进行网上调剂申请。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left"/>
        <w:rPr>
          <w:rFonts w:hint="default" w:ascii="Calibri" w:hAnsi="Calibri" w:cs="Calibri"/>
          <w:sz w:val="24"/>
          <w:szCs w:val="24"/>
        </w:rPr>
      </w:pPr>
      <w:r>
        <w:rPr>
          <w:rFonts w:hint="eastAsia" w:ascii="仿宋" w:hAnsi="仿宋" w:eastAsia="仿宋" w:cs="仿宋"/>
          <w:i w:val="0"/>
          <w:iCs w:val="0"/>
          <w:caps w:val="0"/>
          <w:color w:val="000000"/>
          <w:spacing w:val="0"/>
          <w:sz w:val="28"/>
          <w:szCs w:val="28"/>
          <w:bdr w:val="none" w:color="auto" w:sz="0" w:space="0"/>
          <w:shd w:val="clear" w:fill="FFFFFF"/>
        </w:rPr>
        <w:t>十、学院研究生招生信息发布网址及联系方式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555"/>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信息发布网址：https://cae.hbut.edu.cn/yjsjy/tzgg.htm</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555"/>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联系方式：027—59750504  高老师   吴老师</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555"/>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调剂咨询QQ群：855987192  750431563</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525"/>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920"/>
        <w:jc w:val="right"/>
        <w:rPr>
          <w:rFonts w:hint="default" w:ascii="Calibri" w:hAnsi="Calibri" w:cs="Calibri"/>
          <w:sz w:val="21"/>
          <w:szCs w:val="21"/>
        </w:rPr>
      </w:pPr>
      <w:r>
        <w:rPr>
          <w:rFonts w:hint="eastAsia" w:ascii="宋体" w:hAnsi="宋体" w:eastAsia="宋体" w:cs="宋体"/>
          <w:i w:val="0"/>
          <w:iCs w:val="0"/>
          <w:caps w:val="0"/>
          <w:color w:val="000000"/>
          <w:spacing w:val="0"/>
          <w:kern w:val="0"/>
          <w:sz w:val="28"/>
          <w:szCs w:val="28"/>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555"/>
        <w:jc w:val="center"/>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                    湖北工业大学土木建筑与环境学院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555"/>
        <w:jc w:val="center"/>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         2023年4月10日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mNTAxYTA0NTllZTU0OWY5NWY0MWNlMzBjNGU2OTYifQ=="/>
  </w:docVars>
  <w:rsids>
    <w:rsidRoot w:val="00000000"/>
    <w:rsid w:val="0B3522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2023-04-15T15:33:25Z</dcterms:created>
  <dc:creator>DELL</dc:creator>
  <cp:lastModifiedBy>WPS_1661830351</cp:lastModifiedBy>
  <dcterms:modified xsi:type="dcterms:W3CDTF">2023-04-15T15:33:38Z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6DEB08250CE8403F8CA9EC08FAFB2E1A_12</vt:lpwstr>
  </property>
</Properties>
</file>