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经济与管理学院2023年硕士研究生招生调剂公告（非全日制 工商管理硕士、公共管理硕士）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otted" w:color="DBDBDB" w:sz="4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66666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来源:研究生办公室    时间:2023-04-09    作者:陈志刚    编辑:研究生办公室    点击: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7971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210" w:lineRule="atLeast"/>
        <w:ind w:left="0" w:right="0" w:firstLine="370"/>
      </w:pPr>
      <w:r>
        <w:rPr>
          <w:rStyle w:val="7"/>
          <w:rFonts w:ascii="仿宋" w:hAnsi="仿宋" w:eastAsia="仿宋" w:cs="仿宋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一、</w:t>
      </w:r>
      <w:r>
        <w:rPr>
          <w:rStyle w:val="7"/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调剂基本原则和要求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210" w:lineRule="atLeast"/>
        <w:ind w:left="0" w:right="0" w:firstLine="370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1.所有调剂考生（既包括接收外单位调剂考生，也包括接收本单位内部调剂考生）必须通过教育部指定的“全国硕士生招生调剂服务系统”办理调剂手续。调剂考生能否参加我校复试，以我校在“全国硕士生招生调剂服务系统”确认信息为准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210" w:lineRule="atLeast"/>
        <w:ind w:left="0" w:right="0" w:firstLine="370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2.初试成绩须达到调出学科专业A区国家线及我校调入学科专业复试资格线。符合招生简章中规定的调入专业的报考条件和我院规定的条件。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210" w:lineRule="atLeast"/>
        <w:ind w:left="0" w:right="0" w:firstLine="350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3.第一志愿报考工商管理、公共管理、旅游管理、工程管理、会计、图书情报、审计专业学位硕士的考生，在满足调入专业报考条件的基础上，可申请相互调剂，但不得调入其他专业；其他专业考生也不得调入以上专业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210" w:lineRule="atLeast"/>
        <w:ind w:left="0" w:right="0" w:firstLine="350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4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.为保证生源质量，我院可在上述调剂复试基本要求的基础上，根据各学科专业的实际情况制定相应的调剂复试要求，但务必坚持公平公正，不得按单位、行业、地域、学校层次类别等限定生源范围，也不得设置其他歧视性条件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210" w:lineRule="atLeast"/>
        <w:ind w:left="0" w:right="0" w:firstLine="350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5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.我院不接收一志愿报考外单位“退役大学生士兵”专项计划考生调剂。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210" w:lineRule="atLeast"/>
        <w:ind w:left="0" w:right="0" w:firstLine="350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6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.考生必须确保所填报信息属实，如有虚假，学校将取消其调剂及录取资格。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210" w:lineRule="atLeast"/>
        <w:ind w:left="0" w:right="0" w:firstLine="350"/>
      </w:pPr>
      <w:r>
        <w:rPr>
          <w:rStyle w:val="7"/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二、遴选原则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210" w:lineRule="atLeast"/>
        <w:ind w:left="0" w:right="0" w:firstLine="350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按照调剂基本原则和要求，对申请同一招生单位同一专业、初试科目完全相同的调剂考生，按考生初试成绩择优遴选。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210" w:lineRule="atLeast"/>
        <w:ind w:left="0" w:right="0" w:firstLine="350"/>
      </w:pPr>
      <w:r>
        <w:rPr>
          <w:rStyle w:val="7"/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三、调剂流程及注意事项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210" w:lineRule="atLeast"/>
        <w:ind w:left="0" w:right="0" w:firstLine="350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1.调剂考生必须通过教育部指定的“全国硕士生招生调剂服务系统”进行。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210" w:lineRule="atLeast"/>
        <w:ind w:left="0" w:right="0" w:firstLine="350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2.调剂系统每次开通不低于12小时。考生填报调剂志愿后，志愿会被锁定，我校设置志愿锁定时间24小时。志愿锁定期满后，如没有收到我校复试通知，考生可继续等待或改报其他志愿。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210" w:lineRule="atLeast"/>
        <w:ind w:left="0" w:right="0" w:firstLine="350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3.调剂系统关闭后，我校将遴选调剂考生并发送复试通知。调剂考生能否参加我校复试，以我校在调剂系统确认信息为准，调剂复试资格人员名单将会在本院网站公布。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210" w:lineRule="atLeast"/>
        <w:ind w:left="0" w:right="0" w:firstLine="350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4.经复试被我校拟录取的调剂考生，将通过调剂系统发出待录取通知，考生应在规定时间内及时确认，逾期没有确认者视为主动放弃录取资格，我校将取消“待录取”资格，补录其他考生。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210" w:lineRule="atLeast"/>
        <w:ind w:left="0" w:right="0" w:firstLine="350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5.我院根据相关专业招生计划完成情况，确定是否再次开通调剂系统，请关注我校研究生院网站和招生学院网站公告。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210" w:lineRule="atLeast"/>
        <w:ind w:left="0" w:right="0" w:firstLine="350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6.调剂报名考生务必保持手机畅通，学校将通过调剂系统发送复试及待录取通知，请收到通知提醒的考生在规定时间内及时确认，并按要求进行相关工作。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210" w:lineRule="atLeast"/>
        <w:ind w:left="0" w:right="0" w:firstLine="350"/>
      </w:pPr>
      <w:r>
        <w:rPr>
          <w:rStyle w:val="7"/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四、学院拟接收调剂相关专业及要求</w:t>
      </w:r>
    </w:p>
    <w:tbl>
      <w:tblPr>
        <w:tblW w:w="6927" w:type="dxa"/>
        <w:jc w:val="center"/>
        <w:tblBorders>
          <w:top w:val="single" w:color="DDDDDD" w:sz="4" w:space="0"/>
          <w:left w:val="single" w:color="DDDDDD" w:sz="4" w:space="0"/>
          <w:bottom w:val="single" w:color="DDDDDD" w:sz="4" w:space="0"/>
          <w:right w:val="single" w:color="DDDDDD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73"/>
        <w:gridCol w:w="1673"/>
        <w:gridCol w:w="1673"/>
        <w:gridCol w:w="1673"/>
        <w:gridCol w:w="1674"/>
      </w:tblGrid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4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40" w:lineRule="atLeast"/>
              <w:ind w:left="0" w:right="0"/>
              <w:jc w:val="center"/>
            </w:pPr>
            <w:r>
              <w:rPr>
                <w:rStyle w:val="7"/>
                <w:rFonts w:hint="eastAsia" w:ascii="仿宋" w:hAnsi="仿宋" w:eastAsia="仿宋" w:cs="仿宋"/>
                <w:color w:val="333333"/>
                <w:sz w:val="16"/>
                <w:szCs w:val="16"/>
                <w:bdr w:val="none" w:color="auto" w:sz="0" w:space="0"/>
              </w:rPr>
              <w:t>学习方式</w:t>
            </w:r>
          </w:p>
        </w:tc>
        <w:tc>
          <w:tcPr>
            <w:tcW w:w="42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40" w:lineRule="atLeast"/>
              <w:ind w:left="0" w:right="0"/>
              <w:jc w:val="center"/>
            </w:pPr>
            <w:r>
              <w:rPr>
                <w:rStyle w:val="7"/>
                <w:rFonts w:hint="eastAsia" w:ascii="仿宋" w:hAnsi="仿宋" w:eastAsia="仿宋" w:cs="仿宋"/>
                <w:color w:val="333333"/>
                <w:sz w:val="16"/>
                <w:szCs w:val="16"/>
                <w:bdr w:val="none" w:color="auto" w:sz="0" w:space="0"/>
              </w:rPr>
              <w:t>学位类型</w:t>
            </w:r>
          </w:p>
        </w:tc>
        <w:tc>
          <w:tcPr>
            <w:tcW w:w="42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40" w:lineRule="atLeast"/>
              <w:ind w:left="0" w:right="0"/>
              <w:jc w:val="center"/>
            </w:pPr>
            <w:r>
              <w:rPr>
                <w:rStyle w:val="7"/>
                <w:rFonts w:hint="eastAsia" w:ascii="仿宋" w:hAnsi="仿宋" w:eastAsia="仿宋" w:cs="仿宋"/>
                <w:color w:val="333333"/>
                <w:sz w:val="16"/>
                <w:szCs w:val="16"/>
                <w:bdr w:val="none" w:color="auto" w:sz="0" w:space="0"/>
              </w:rPr>
              <w:t>专业代码及名称</w:t>
            </w:r>
          </w:p>
        </w:tc>
        <w:tc>
          <w:tcPr>
            <w:tcW w:w="42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40" w:lineRule="atLeast"/>
              <w:ind w:left="0" w:right="0"/>
              <w:jc w:val="center"/>
            </w:pPr>
            <w:r>
              <w:rPr>
                <w:rStyle w:val="7"/>
                <w:rFonts w:hint="eastAsia" w:ascii="仿宋" w:hAnsi="仿宋" w:eastAsia="仿宋" w:cs="仿宋"/>
                <w:color w:val="333333"/>
                <w:sz w:val="16"/>
                <w:szCs w:val="16"/>
                <w:bdr w:val="none" w:color="auto" w:sz="0" w:space="0"/>
              </w:rPr>
              <w:t>拟接收调剂名额</w:t>
            </w:r>
          </w:p>
        </w:tc>
        <w:tc>
          <w:tcPr>
            <w:tcW w:w="42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40" w:lineRule="atLeast"/>
              <w:ind w:left="0" w:right="0"/>
              <w:jc w:val="center"/>
            </w:pPr>
            <w:r>
              <w:rPr>
                <w:rStyle w:val="7"/>
                <w:rFonts w:hint="eastAsia" w:ascii="仿宋" w:hAnsi="仿宋" w:eastAsia="仿宋" w:cs="仿宋"/>
                <w:color w:val="333333"/>
                <w:sz w:val="16"/>
                <w:szCs w:val="16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4240" w:type="dxa"/>
            <w:vMerge w:val="restart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Style w:val="7"/>
                <w:rFonts w:hint="eastAsia" w:ascii="仿宋" w:hAnsi="仿宋" w:eastAsia="仿宋" w:cs="仿宋"/>
                <w:b/>
                <w:bCs/>
                <w:color w:val="333333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42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14"/>
                <w:szCs w:val="14"/>
                <w:bdr w:val="none" w:color="auto" w:sz="0" w:space="0"/>
              </w:rPr>
              <w:t>专业型</w:t>
            </w:r>
          </w:p>
        </w:tc>
        <w:tc>
          <w:tcPr>
            <w:tcW w:w="42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14"/>
                <w:szCs w:val="14"/>
                <w:bdr w:val="none" w:color="auto" w:sz="0" w:space="0"/>
              </w:rPr>
              <w:t>125</w:t>
            </w:r>
            <w:r>
              <w:rPr>
                <w:rFonts w:hint="eastAsia" w:ascii="仿宋" w:hAnsi="仿宋" w:eastAsia="仿宋" w:cs="仿宋"/>
                <w:color w:val="333333"/>
                <w:sz w:val="16"/>
                <w:szCs w:val="16"/>
                <w:bdr w:val="none" w:color="auto" w:sz="0" w:space="0"/>
              </w:rPr>
              <w:t>1</w:t>
            </w:r>
            <w:r>
              <w:rPr>
                <w:rFonts w:hint="eastAsia" w:ascii="仿宋" w:hAnsi="仿宋" w:eastAsia="仿宋" w:cs="仿宋"/>
                <w:color w:val="333333"/>
                <w:sz w:val="14"/>
                <w:szCs w:val="14"/>
                <w:bdr w:val="none" w:color="auto" w:sz="0" w:space="0"/>
              </w:rPr>
              <w:t>00 工商管理</w:t>
            </w:r>
          </w:p>
        </w:tc>
        <w:tc>
          <w:tcPr>
            <w:tcW w:w="42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16"/>
                <w:szCs w:val="16"/>
                <w:bdr w:val="none" w:color="auto" w:sz="0" w:space="0"/>
              </w:rPr>
              <w:t>97</w:t>
            </w:r>
          </w:p>
        </w:tc>
        <w:tc>
          <w:tcPr>
            <w:tcW w:w="42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4240" w:type="dxa"/>
            <w:vMerge w:val="continue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14"/>
                <w:szCs w:val="14"/>
                <w:bdr w:val="none" w:color="auto" w:sz="0" w:space="0"/>
              </w:rPr>
              <w:t>专业型</w:t>
            </w:r>
          </w:p>
        </w:tc>
        <w:tc>
          <w:tcPr>
            <w:tcW w:w="4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14"/>
                <w:szCs w:val="14"/>
                <w:bdr w:val="none" w:color="auto" w:sz="0" w:space="0"/>
              </w:rPr>
              <w:t>125</w:t>
            </w:r>
            <w:r>
              <w:rPr>
                <w:rFonts w:hint="eastAsia" w:ascii="仿宋" w:hAnsi="仿宋" w:eastAsia="仿宋" w:cs="仿宋"/>
                <w:color w:val="333333"/>
                <w:sz w:val="16"/>
                <w:szCs w:val="16"/>
                <w:bdr w:val="none" w:color="auto" w:sz="0" w:space="0"/>
              </w:rPr>
              <w:t>2</w:t>
            </w:r>
            <w:r>
              <w:rPr>
                <w:rFonts w:hint="eastAsia" w:ascii="仿宋" w:hAnsi="仿宋" w:eastAsia="仿宋" w:cs="仿宋"/>
                <w:color w:val="333333"/>
                <w:sz w:val="14"/>
                <w:szCs w:val="14"/>
                <w:bdr w:val="none" w:color="auto" w:sz="0" w:space="0"/>
              </w:rPr>
              <w:t>00 公共管理</w:t>
            </w:r>
          </w:p>
        </w:tc>
        <w:tc>
          <w:tcPr>
            <w:tcW w:w="4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14"/>
                <w:szCs w:val="14"/>
                <w:bdr w:val="none" w:color="auto" w:sz="0" w:space="0"/>
              </w:rPr>
              <w:t>7</w:t>
            </w:r>
            <w:r>
              <w:rPr>
                <w:rFonts w:hint="eastAsia" w:ascii="仿宋" w:hAnsi="仿宋" w:eastAsia="仿宋" w:cs="仿宋"/>
                <w:color w:val="333333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424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注：具体调剂专业、调剂要求等信息，请以“研招网”调剂系统发布的信息为准。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210" w:lineRule="atLeast"/>
        <w:ind w:left="0" w:right="0" w:firstLine="350"/>
        <w:textAlignment w:val="baseline"/>
      </w:pPr>
      <w:r>
        <w:rPr>
          <w:rStyle w:val="7"/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  <w:vertAlign w:val="baseline"/>
        </w:rPr>
        <w:t>五、调剂复试办法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210" w:lineRule="atLeast"/>
        <w:ind w:left="0" w:right="0" w:firstLine="350"/>
      </w:pPr>
      <w:r>
        <w:rPr>
          <w:rStyle w:val="7"/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（一）复试形式及内容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210" w:lineRule="atLeast"/>
        <w:ind w:left="0" w:right="0" w:firstLine="350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我院工商管理专硕（MBA）和公共管理专硕（MPA）调剂通过腾讯会议室采取网络远程方式复试，复试办法参照我院发布的复试工作实施细则进行。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210" w:lineRule="atLeast"/>
        <w:ind w:left="0" w:right="0" w:firstLine="350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复试满分200分，包括综合面试（150分）和外国语听力与口语水平测试（50分），每名考生面试时间原则上不低于20分钟。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210" w:lineRule="atLeast"/>
        <w:ind w:left="0" w:right="0" w:firstLine="350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1.综合面试（含思想政治理论）。综合面试对考生的思想政治素质和品德、专业素质和能力、综合素养等进行考察，了解考生综合运用所学知识分析问题、解决问题的能力，同时也了解考生的思维能力、反应速度、治学态度、专业技能、个人志趣与特点，是否具有创新意识和创新精神。面试中注意结合其平时学习成绩、科研创新潜质等考察；思想政治素质和品德考核，视具体情况还可采取“函调”或“派人外调”等方式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370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2.外国语听力与口语水平测试。了解考生外国语听说表达能力，给出不同主题，由考生围绕所选主题作答。测试内容包括日常对话、广播新闻、专业外文文献等。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210" w:lineRule="atLeast"/>
        <w:ind w:left="0" w:right="0" w:firstLine="350"/>
      </w:pPr>
      <w:r>
        <w:rPr>
          <w:rStyle w:val="7"/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（二）复试流程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210" w:lineRule="atLeast"/>
        <w:ind w:left="0" w:right="0" w:firstLine="350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1.资格审查及材料提交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210" w:lineRule="atLeast"/>
        <w:ind w:left="0" w:right="0" w:firstLine="350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复试期间学院对考生进行资格审查，无证考生和复试资格不合格考生将不予复试。考生须提交以下材料电子版：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210" w:lineRule="atLeast"/>
        <w:ind w:left="0" w:right="0" w:firstLine="350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（1）居民身份证原件正反面；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210" w:lineRule="atLeast"/>
        <w:ind w:left="0" w:right="0" w:firstLine="350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（2）全国硕士研究生招生考试准考证；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210" w:lineRule="atLeast"/>
        <w:ind w:left="0" w:right="0" w:firstLine="350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（3）考生提供《教育部学历证书电子注册备案表》；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210" w:lineRule="atLeast"/>
        <w:ind w:left="0" w:right="0" w:firstLine="350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（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4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）国外学历考生提供学历认证报告；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210" w:lineRule="atLeast"/>
        <w:ind w:left="0" w:right="0" w:firstLine="350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（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5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）所在单位同意定向攻读硕士研究生的证明材料（拟录取阶段须提供定向协议）；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210" w:lineRule="atLeast"/>
        <w:ind w:left="0" w:right="0" w:firstLine="350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（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6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）湖北工业大学研究生复试思想政治素质和品德考核表（校研究生院网站上下载)；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210" w:lineRule="atLeast"/>
        <w:ind w:left="0" w:right="0" w:firstLine="350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（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7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）考生诚信复试承诺书；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210" w:lineRule="atLeast"/>
        <w:ind w:left="0" w:right="0" w:firstLine="350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（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8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）其他可展示本人能力和水平的证明，如四六级、学科竞赛奖状、荣誉证书等。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210" w:lineRule="atLeast"/>
        <w:ind w:left="0" w:right="0" w:firstLine="350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请按以上顺序将所有材料扫描进一个文档，保存为PDF格式，命名为“</w:t>
      </w:r>
      <w:r>
        <w:rPr>
          <w:rStyle w:val="7"/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专业+考生编码+姓名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”，于复试前一天中午12：00前发到指定邮箱，进行资格审核：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548441781@qq.com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370"/>
        <w:jc w:val="left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2.考生采用腾讯会议室复试设备环境要求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370"/>
        <w:jc w:val="left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（</w:t>
      </w:r>
      <w:r>
        <w:rPr>
          <w:rFonts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1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）复试设备要求双机位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,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考生须准备一台电脑和一部手机，或两部手机；电脑要求为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Windows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操作系统，手机为安卓系统、苹果系统均可。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370"/>
        <w:jc w:val="left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2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）复试须在封闭的、无噪音的环境下进行，请考生提前准备网络畅通、光线较好的复试房间，布置好复试设备和环境。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370"/>
        <w:jc w:val="left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3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）考生复试前须进行提前演练，调试设备，模拟网上面试流程。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370"/>
        <w:jc w:val="left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3.复试操作流程以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QQ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群提供的网络远程操作流程为准。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370"/>
        <w:jc w:val="left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4.请接收到调剂复试通知的考生加入复试通知里指定的QQ群。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370"/>
        <w:jc w:val="left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5.考生复试流程及具体安排（预告，以Q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Q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群实际通知为准）</w:t>
      </w:r>
    </w:p>
    <w:tbl>
      <w:tblPr>
        <w:tblW w:w="6927" w:type="dxa"/>
        <w:jc w:val="center"/>
        <w:tblBorders>
          <w:top w:val="single" w:color="DDDDDD" w:sz="4" w:space="0"/>
          <w:left w:val="single" w:color="DDDDDD" w:sz="4" w:space="0"/>
          <w:bottom w:val="single" w:color="DDDDDD" w:sz="4" w:space="0"/>
          <w:right w:val="single" w:color="DDDDDD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14"/>
        <w:gridCol w:w="1703"/>
        <w:gridCol w:w="3510"/>
      </w:tblGrid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0" w:hRule="atLeast"/>
          <w:jc w:val="center"/>
        </w:trPr>
        <w:tc>
          <w:tcPr>
            <w:tcW w:w="4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Style w:val="7"/>
                <w:rFonts w:hint="eastAsia" w:ascii="仿宋" w:hAnsi="仿宋" w:eastAsia="仿宋" w:cs="仿宋"/>
                <w:b/>
                <w:bCs/>
                <w:color w:val="333333"/>
                <w:sz w:val="14"/>
                <w:szCs w:val="14"/>
                <w:bdr w:val="none" w:color="auto" w:sz="0" w:space="0"/>
              </w:rPr>
              <w:t>时间</w:t>
            </w:r>
          </w:p>
        </w:tc>
        <w:tc>
          <w:tcPr>
            <w:tcW w:w="4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Style w:val="7"/>
                <w:rFonts w:hint="eastAsia" w:ascii="仿宋" w:hAnsi="仿宋" w:eastAsia="仿宋" w:cs="仿宋"/>
                <w:b/>
                <w:bCs/>
                <w:color w:val="333333"/>
                <w:sz w:val="14"/>
                <w:szCs w:val="14"/>
                <w:bdr w:val="none" w:color="auto" w:sz="0" w:space="0"/>
              </w:rPr>
              <w:t>内容</w:t>
            </w:r>
          </w:p>
        </w:tc>
        <w:tc>
          <w:tcPr>
            <w:tcW w:w="4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Style w:val="7"/>
                <w:rFonts w:hint="eastAsia" w:ascii="仿宋" w:hAnsi="仿宋" w:eastAsia="仿宋" w:cs="仿宋"/>
                <w:b/>
                <w:bCs/>
                <w:color w:val="333333"/>
                <w:sz w:val="14"/>
                <w:szCs w:val="14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" w:hRule="atLeast"/>
          <w:jc w:val="center"/>
        </w:trPr>
        <w:tc>
          <w:tcPr>
            <w:tcW w:w="4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6"/>
                <w:szCs w:val="16"/>
                <w:bdr w:val="none" w:color="auto" w:sz="0" w:space="0"/>
              </w:rPr>
              <w:t>4</w:t>
            </w:r>
            <w:r>
              <w:rPr>
                <w:rFonts w:hint="eastAsia" w:ascii="仿宋" w:hAnsi="仿宋" w:eastAsia="仿宋" w:cs="仿宋"/>
                <w:color w:val="333333"/>
                <w:sz w:val="14"/>
                <w:szCs w:val="14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cs="Times New Roman"/>
                <w:color w:val="333333"/>
                <w:sz w:val="14"/>
                <w:szCs w:val="14"/>
                <w:bdr w:val="none" w:color="auto" w:sz="0" w:space="0"/>
              </w:rPr>
              <w:t>12</w:t>
            </w:r>
            <w:r>
              <w:rPr>
                <w:rFonts w:hint="eastAsia" w:ascii="仿宋" w:hAnsi="仿宋" w:eastAsia="仿宋" w:cs="仿宋"/>
                <w:color w:val="333333"/>
                <w:sz w:val="14"/>
                <w:szCs w:val="14"/>
                <w:bdr w:val="none" w:color="auto" w:sz="0" w:space="0"/>
              </w:rPr>
              <w:t>日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6"/>
                <w:szCs w:val="16"/>
                <w:bdr w:val="none" w:color="auto" w:sz="0" w:space="0"/>
              </w:rPr>
              <w:t>12</w:t>
            </w:r>
            <w:r>
              <w:rPr>
                <w:rFonts w:hint="eastAsia" w:ascii="仿宋" w:hAnsi="仿宋" w:eastAsia="仿宋" w:cs="仿宋"/>
                <w:color w:val="333333"/>
                <w:sz w:val="14"/>
                <w:szCs w:val="14"/>
                <w:bdr w:val="none" w:color="auto" w:sz="0" w:space="0"/>
              </w:rPr>
              <w:t>：</w:t>
            </w:r>
            <w:r>
              <w:rPr>
                <w:rFonts w:hint="default" w:ascii="Times New Roman" w:hAnsi="Times New Roman" w:cs="Times New Roman"/>
                <w:color w:val="333333"/>
                <w:sz w:val="14"/>
                <w:szCs w:val="14"/>
                <w:bdr w:val="none" w:color="auto" w:sz="0" w:space="0"/>
              </w:rPr>
              <w:t>00</w:t>
            </w:r>
            <w:r>
              <w:rPr>
                <w:rFonts w:hint="eastAsia" w:ascii="仿宋" w:hAnsi="仿宋" w:eastAsia="仿宋" w:cs="仿宋"/>
                <w:color w:val="333333"/>
                <w:sz w:val="14"/>
                <w:szCs w:val="14"/>
                <w:bdr w:val="none" w:color="auto" w:sz="0" w:space="0"/>
              </w:rPr>
              <w:t>前</w:t>
            </w:r>
          </w:p>
        </w:tc>
        <w:tc>
          <w:tcPr>
            <w:tcW w:w="4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14"/>
                <w:szCs w:val="14"/>
                <w:bdr w:val="none" w:color="auto" w:sz="0" w:space="0"/>
              </w:rPr>
              <w:t>缴费</w:t>
            </w:r>
          </w:p>
        </w:tc>
        <w:tc>
          <w:tcPr>
            <w:tcW w:w="4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</w:pPr>
            <w:r>
              <w:rPr>
                <w:rFonts w:hint="default" w:ascii="Times New Roman" w:hAnsi="Times New Roman" w:cs="Times New Roman"/>
                <w:color w:val="333333"/>
                <w:sz w:val="16"/>
                <w:szCs w:val="16"/>
                <w:bdr w:val="none" w:color="auto" w:sz="0" w:space="0"/>
              </w:rPr>
              <w:t>1.</w:t>
            </w:r>
            <w:r>
              <w:rPr>
                <w:rFonts w:hint="eastAsia" w:ascii="仿宋" w:hAnsi="仿宋" w:eastAsia="仿宋" w:cs="仿宋"/>
                <w:color w:val="333333"/>
                <w:sz w:val="14"/>
                <w:szCs w:val="14"/>
                <w:bdr w:val="none" w:color="auto" w:sz="0" w:space="0"/>
              </w:rPr>
              <w:t>缴费链接</w:t>
            </w:r>
            <w:r>
              <w:rPr>
                <w:rFonts w:hint="default" w:ascii="Times New Roman" w:hAnsi="Times New Roman" w:cs="Times New Roman"/>
                <w:color w:val="333333"/>
                <w:sz w:val="14"/>
                <w:szCs w:val="14"/>
                <w:bdr w:val="none" w:color="auto" w:sz="0" w:space="0"/>
              </w:rPr>
              <w:t>http://wpay.hbut.edu.cn:8081/bmqz/view/login.html</w:t>
            </w:r>
            <w:r>
              <w:rPr>
                <w:rFonts w:hint="eastAsia" w:ascii="仿宋" w:hAnsi="仿宋" w:eastAsia="仿宋" w:cs="仿宋"/>
                <w:color w:val="333333"/>
                <w:sz w:val="14"/>
                <w:szCs w:val="14"/>
                <w:bdr w:val="none" w:color="auto" w:sz="0" w:space="0"/>
              </w:rPr>
              <w:t>，请学生通过电脑浏览器地址栏或手机微信打开该网址。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</w:pPr>
            <w:r>
              <w:rPr>
                <w:rFonts w:hint="default" w:ascii="Times New Roman" w:hAnsi="Times New Roman" w:cs="Times New Roman"/>
                <w:color w:val="333333"/>
                <w:sz w:val="16"/>
                <w:szCs w:val="16"/>
                <w:bdr w:val="none" w:color="auto" w:sz="0" w:space="0"/>
              </w:rPr>
              <w:t>2.</w:t>
            </w:r>
            <w:r>
              <w:rPr>
                <w:rFonts w:hint="eastAsia" w:ascii="仿宋" w:hAnsi="仿宋" w:eastAsia="仿宋" w:cs="仿宋"/>
                <w:color w:val="333333"/>
                <w:sz w:val="14"/>
                <w:szCs w:val="14"/>
                <w:bdr w:val="none" w:color="auto" w:sz="0" w:space="0"/>
              </w:rPr>
              <w:t>请采用</w:t>
            </w:r>
            <w:r>
              <w:rPr>
                <w:rFonts w:hint="default" w:ascii="Times New Roman" w:hAnsi="Times New Roman" w:cs="Times New Roman"/>
                <w:color w:val="333333"/>
                <w:sz w:val="14"/>
                <w:szCs w:val="14"/>
                <w:bdr w:val="none" w:color="auto" w:sz="0" w:space="0"/>
              </w:rPr>
              <w:t>“</w:t>
            </w:r>
            <w:r>
              <w:rPr>
                <w:rFonts w:hint="eastAsia" w:ascii="仿宋" w:hAnsi="仿宋" w:eastAsia="仿宋" w:cs="仿宋"/>
                <w:color w:val="333333"/>
                <w:sz w:val="14"/>
                <w:szCs w:val="14"/>
                <w:bdr w:val="none" w:color="auto" w:sz="0" w:space="0"/>
              </w:rPr>
              <w:t>注册入口</w:t>
            </w:r>
            <w:r>
              <w:rPr>
                <w:rFonts w:hint="default" w:ascii="Times New Roman" w:hAnsi="Times New Roman" w:cs="Times New Roman"/>
                <w:color w:val="333333"/>
                <w:sz w:val="14"/>
                <w:szCs w:val="14"/>
                <w:bdr w:val="none" w:color="auto" w:sz="0" w:space="0"/>
              </w:rPr>
              <w:t>”</w:t>
            </w:r>
            <w:r>
              <w:rPr>
                <w:rFonts w:hint="eastAsia" w:ascii="仿宋" w:hAnsi="仿宋" w:eastAsia="仿宋" w:cs="仿宋"/>
                <w:color w:val="333333"/>
                <w:sz w:val="14"/>
                <w:szCs w:val="14"/>
                <w:bdr w:val="none" w:color="auto" w:sz="0" w:space="0"/>
              </w:rPr>
              <w:t>登录，学生注册成功后，请按要求准确填写个人姓名、性别、身份证号、准考证考生编号、报考学院等信息，填写完毕后便进入缴费界面。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</w:pPr>
            <w:r>
              <w:rPr>
                <w:rFonts w:hint="default" w:ascii="Times New Roman" w:hAnsi="Times New Roman" w:cs="Times New Roman"/>
                <w:color w:val="333333"/>
                <w:sz w:val="16"/>
                <w:szCs w:val="16"/>
                <w:bdr w:val="none" w:color="auto" w:sz="0" w:space="0"/>
              </w:rPr>
              <w:t>3.</w:t>
            </w:r>
            <w:r>
              <w:rPr>
                <w:rFonts w:hint="eastAsia" w:ascii="仿宋" w:hAnsi="仿宋" w:eastAsia="仿宋" w:cs="仿宋"/>
                <w:color w:val="333333"/>
                <w:sz w:val="14"/>
                <w:szCs w:val="14"/>
                <w:bdr w:val="none" w:color="auto" w:sz="0" w:space="0"/>
              </w:rPr>
              <w:t>研究生复试费缴费咨询</w:t>
            </w:r>
            <w:r>
              <w:rPr>
                <w:rFonts w:hint="default" w:ascii="Times New Roman" w:hAnsi="Times New Roman" w:cs="Times New Roman"/>
                <w:color w:val="333333"/>
                <w:sz w:val="14"/>
                <w:szCs w:val="14"/>
                <w:bdr w:val="none" w:color="auto" w:sz="0" w:space="0"/>
              </w:rPr>
              <w:t>QQ</w:t>
            </w:r>
            <w:r>
              <w:rPr>
                <w:rFonts w:hint="eastAsia" w:ascii="仿宋" w:hAnsi="仿宋" w:eastAsia="仿宋" w:cs="仿宋"/>
                <w:color w:val="333333"/>
                <w:sz w:val="14"/>
                <w:szCs w:val="14"/>
                <w:bdr w:val="none" w:color="auto" w:sz="0" w:space="0"/>
              </w:rPr>
              <w:t>群号</w:t>
            </w:r>
            <w:r>
              <w:rPr>
                <w:rFonts w:hint="default" w:ascii="Times New Roman" w:hAnsi="Times New Roman" w:cs="Times New Roman"/>
                <w:color w:val="333333"/>
                <w:sz w:val="14"/>
                <w:szCs w:val="14"/>
                <w:bdr w:val="none" w:color="auto" w:sz="0" w:space="0"/>
              </w:rPr>
              <w:t>196325249</w:t>
            </w:r>
            <w:r>
              <w:rPr>
                <w:rFonts w:hint="eastAsia" w:ascii="仿宋" w:hAnsi="仿宋" w:eastAsia="仿宋" w:cs="仿宋"/>
                <w:color w:val="333333"/>
                <w:sz w:val="14"/>
                <w:szCs w:val="14"/>
                <w:bdr w:val="none" w:color="auto" w:sz="0" w:space="0"/>
              </w:rPr>
              <w:t>。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4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6"/>
                <w:szCs w:val="16"/>
                <w:bdr w:val="none" w:color="auto" w:sz="0" w:space="0"/>
              </w:rPr>
              <w:t>4</w:t>
            </w:r>
            <w:r>
              <w:rPr>
                <w:rFonts w:hint="eastAsia" w:ascii="仿宋" w:hAnsi="仿宋" w:eastAsia="仿宋" w:cs="仿宋"/>
                <w:color w:val="333333"/>
                <w:sz w:val="14"/>
                <w:szCs w:val="14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cs="Times New Roman"/>
                <w:color w:val="333333"/>
                <w:sz w:val="14"/>
                <w:szCs w:val="14"/>
                <w:bdr w:val="none" w:color="auto" w:sz="0" w:space="0"/>
              </w:rPr>
              <w:t>12-15</w:t>
            </w:r>
            <w:r>
              <w:rPr>
                <w:rFonts w:hint="eastAsia" w:ascii="仿宋" w:hAnsi="仿宋" w:eastAsia="仿宋" w:cs="仿宋"/>
                <w:color w:val="333333"/>
                <w:sz w:val="14"/>
                <w:szCs w:val="14"/>
                <w:bdr w:val="none" w:color="auto" w:sz="0" w:space="0"/>
              </w:rPr>
              <w:t>日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6"/>
                <w:szCs w:val="16"/>
                <w:bdr w:val="none" w:color="auto" w:sz="0" w:space="0"/>
              </w:rPr>
              <w:t>9</w:t>
            </w:r>
            <w:r>
              <w:rPr>
                <w:rFonts w:hint="eastAsia" w:ascii="仿宋" w:hAnsi="仿宋" w:eastAsia="仿宋" w:cs="仿宋"/>
                <w:color w:val="333333"/>
                <w:sz w:val="14"/>
                <w:szCs w:val="14"/>
                <w:bdr w:val="none" w:color="auto" w:sz="0" w:space="0"/>
              </w:rPr>
              <w:t>：</w:t>
            </w:r>
            <w:r>
              <w:rPr>
                <w:rFonts w:hint="default" w:ascii="Times New Roman" w:hAnsi="Times New Roman" w:cs="Times New Roman"/>
                <w:color w:val="333333"/>
                <w:sz w:val="14"/>
                <w:szCs w:val="14"/>
                <w:bdr w:val="none" w:color="auto" w:sz="0" w:space="0"/>
              </w:rPr>
              <w:t>00-</w:t>
            </w:r>
            <w:r>
              <w:rPr>
                <w:rFonts w:hint="eastAsia" w:ascii="仿宋" w:hAnsi="仿宋" w:eastAsia="仿宋" w:cs="仿宋"/>
                <w:color w:val="333333"/>
                <w:sz w:val="16"/>
                <w:szCs w:val="16"/>
                <w:bdr w:val="none" w:color="auto" w:sz="0" w:space="0"/>
              </w:rPr>
              <w:t> </w:t>
            </w:r>
            <w:r>
              <w:rPr>
                <w:rFonts w:hint="default" w:ascii="Times New Roman" w:hAnsi="Times New Roman" w:eastAsia="仿宋" w:cs="Times New Roman"/>
                <w:color w:val="333333"/>
                <w:sz w:val="14"/>
                <w:szCs w:val="14"/>
                <w:bdr w:val="none" w:color="auto" w:sz="0" w:space="0"/>
              </w:rPr>
              <w:t>1</w:t>
            </w:r>
            <w:r>
              <w:rPr>
                <w:rFonts w:hint="default" w:ascii="Times New Roman" w:hAnsi="Times New Roman" w:cs="Times New Roman"/>
                <w:color w:val="333333"/>
                <w:sz w:val="16"/>
                <w:szCs w:val="16"/>
                <w:bdr w:val="none" w:color="auto" w:sz="0" w:space="0"/>
              </w:rPr>
              <w:t>7</w:t>
            </w:r>
            <w:r>
              <w:rPr>
                <w:rFonts w:hint="eastAsia" w:ascii="仿宋" w:hAnsi="仿宋" w:eastAsia="仿宋" w:cs="仿宋"/>
                <w:color w:val="333333"/>
                <w:sz w:val="14"/>
                <w:szCs w:val="14"/>
                <w:bdr w:val="none" w:color="auto" w:sz="0" w:space="0"/>
              </w:rPr>
              <w:t>：</w:t>
            </w:r>
            <w:r>
              <w:rPr>
                <w:rFonts w:hint="default" w:ascii="Times New Roman" w:hAnsi="Times New Roman" w:cs="Times New Roman"/>
                <w:color w:val="333333"/>
                <w:sz w:val="14"/>
                <w:szCs w:val="14"/>
                <w:bdr w:val="none" w:color="auto" w:sz="0" w:space="0"/>
              </w:rPr>
              <w:t>30</w:t>
            </w:r>
          </w:p>
        </w:tc>
        <w:tc>
          <w:tcPr>
            <w:tcW w:w="4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6"/>
                <w:szCs w:val="16"/>
                <w:bdr w:val="none" w:color="auto" w:sz="0" w:space="0"/>
              </w:rPr>
              <w:t>MBA</w:t>
            </w:r>
            <w:r>
              <w:rPr>
                <w:rFonts w:hint="eastAsia" w:ascii="仿宋" w:hAnsi="仿宋" w:eastAsia="仿宋" w:cs="仿宋"/>
                <w:color w:val="333333"/>
                <w:sz w:val="14"/>
                <w:szCs w:val="14"/>
                <w:bdr w:val="none" w:color="auto" w:sz="0" w:space="0"/>
              </w:rPr>
              <w:t>、</w:t>
            </w:r>
            <w:r>
              <w:rPr>
                <w:rFonts w:hint="default" w:ascii="Times New Roman" w:hAnsi="Times New Roman" w:eastAsia="仿宋" w:cs="Times New Roman"/>
                <w:color w:val="333333"/>
                <w:sz w:val="14"/>
                <w:szCs w:val="14"/>
                <w:bdr w:val="none" w:color="auto" w:sz="0" w:space="0"/>
              </w:rPr>
              <w:t>MPA</w:t>
            </w:r>
            <w:r>
              <w:rPr>
                <w:rFonts w:hint="eastAsia" w:ascii="仿宋" w:hAnsi="仿宋" w:eastAsia="仿宋" w:cs="仿宋"/>
                <w:color w:val="333333"/>
                <w:sz w:val="14"/>
                <w:szCs w:val="14"/>
                <w:bdr w:val="none" w:color="auto" w:sz="0" w:space="0"/>
              </w:rPr>
              <w:t>复试</w:t>
            </w:r>
          </w:p>
        </w:tc>
        <w:tc>
          <w:tcPr>
            <w:tcW w:w="4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</w:pPr>
            <w:r>
              <w:rPr>
                <w:rFonts w:hint="eastAsia" w:ascii="仿宋" w:hAnsi="仿宋" w:eastAsia="仿宋" w:cs="仿宋"/>
                <w:color w:val="333333"/>
                <w:sz w:val="14"/>
                <w:szCs w:val="14"/>
                <w:bdr w:val="none" w:color="auto" w:sz="0" w:space="0"/>
              </w:rPr>
              <w:t>按远程复试考生须知做好准备（含同等学力考生加试），具体复试时间及分组等请关注复试</w:t>
            </w:r>
            <w:r>
              <w:rPr>
                <w:rFonts w:hint="default" w:ascii="Times New Roman" w:hAnsi="Times New Roman" w:cs="Times New Roman"/>
                <w:color w:val="333333"/>
                <w:sz w:val="16"/>
                <w:szCs w:val="16"/>
                <w:bdr w:val="none" w:color="auto" w:sz="0" w:space="0"/>
              </w:rPr>
              <w:t>QQ</w:t>
            </w:r>
            <w:r>
              <w:rPr>
                <w:rFonts w:hint="eastAsia" w:ascii="仿宋" w:hAnsi="仿宋" w:eastAsia="仿宋" w:cs="仿宋"/>
                <w:color w:val="333333"/>
                <w:sz w:val="14"/>
                <w:szCs w:val="14"/>
                <w:bdr w:val="none" w:color="auto" w:sz="0" w:space="0"/>
              </w:rPr>
              <w:t>群信息。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210" w:lineRule="atLeast"/>
        <w:ind w:left="0" w:right="0" w:firstLine="350"/>
        <w:textAlignment w:val="baseline"/>
      </w:pPr>
      <w:r>
        <w:rPr>
          <w:rStyle w:val="7"/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  <w:vertAlign w:val="baseline"/>
        </w:rPr>
        <w:t>（四）其他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210" w:lineRule="atLeast"/>
        <w:ind w:left="0" w:right="0" w:firstLine="350"/>
        <w:textAlignment w:val="baseline"/>
      </w:pPr>
      <w:r>
        <w:rPr>
          <w:rStyle w:val="7"/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  <w:vertAlign w:val="baseline"/>
        </w:rPr>
        <w:t>其他未说明的事项，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  <w:vertAlign w:val="baseline"/>
        </w:rPr>
        <w:t>参照我院发布的复试工作实施细则进行。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210" w:lineRule="atLeast"/>
        <w:ind w:left="0" w:right="0" w:firstLine="350"/>
        <w:textAlignment w:val="baseline"/>
      </w:pPr>
      <w:r>
        <w:rPr>
          <w:rStyle w:val="7"/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  <w:vertAlign w:val="baseline"/>
        </w:rPr>
        <w:t>六、培养方式及学制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210" w:lineRule="atLeast"/>
        <w:ind w:left="0" w:right="0" w:firstLine="350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非脱产，学制3年；原则上招收在职定向就业人员，需在录取前与学校、用人单位签订定向协议；课程教学一般采取集中与周末相结合的方式进行，学生可结合自己工作实际完成学业学习、实践、毕业论文答辩等环节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210" w:lineRule="atLeast"/>
        <w:ind w:left="0" w:right="0" w:firstLine="350"/>
      </w:pPr>
      <w:r>
        <w:rPr>
          <w:rStyle w:val="7"/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七、学费标准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210" w:lineRule="atLeast"/>
        <w:ind w:left="0" w:right="0" w:firstLine="350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非全日制工商管理专业型硕士2.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4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万元/年，非全日制公共管理专业型硕士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1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.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6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万元/年。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210" w:lineRule="atLeast"/>
        <w:ind w:left="0" w:right="0" w:firstLine="350"/>
      </w:pPr>
      <w:r>
        <w:rPr>
          <w:rStyle w:val="7"/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八、奖助政策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210" w:lineRule="atLeast"/>
        <w:ind w:left="0" w:right="0" w:firstLine="350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非全日制硕士研究生原则上招收在职定向就业人员，按定向培养政策执行，不享受国家和学校提供的奖助学金。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210" w:lineRule="atLeast"/>
        <w:ind w:left="0" w:right="0" w:firstLine="370"/>
      </w:pPr>
      <w:r>
        <w:rPr>
          <w:rStyle w:val="7"/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九、我院拟安排调剂报名时间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210" w:lineRule="atLeast"/>
        <w:ind w:left="0" w:right="0" w:firstLine="350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第一次开放时间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4月9日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 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21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：00。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210" w:lineRule="atLeast"/>
        <w:ind w:left="0" w:right="0" w:firstLine="350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申请调剂考生须及时登录“全国硕士研究生招生调剂服务系统”，查看我院调剂信息，进行网上调剂申请。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210" w:lineRule="atLeast"/>
        <w:ind w:left="0" w:right="0" w:firstLine="370"/>
      </w:pPr>
      <w:r>
        <w:rPr>
          <w:rStyle w:val="7"/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十、学院研究生招生信息发布网址及联系方式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210" w:lineRule="atLeast"/>
        <w:ind w:left="0" w:right="0" w:firstLine="350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信息发布网址：https://ems.hbut.edu.cn/index.htm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210" w:lineRule="atLeast"/>
        <w:ind w:left="0" w:right="0" w:firstLine="350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联系方式：027-59750561   张老师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210" w:lineRule="atLeast"/>
        <w:ind w:left="0" w:right="0" w:firstLine="35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210" w:lineRule="atLeast"/>
        <w:ind w:left="0" w:right="0" w:firstLine="2990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                                   湖北工业大学经济与管理学院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3550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                                   2023年4月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9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68042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2023-04-16T10:14:25Z</dcterms:created>
  <dc:creator>DELL</dc:creator>
  <cp:lastModifiedBy>WPS_1661830351</cp:lastModifiedBy>
  <dcterms:modified xsi:type="dcterms:W3CDTF">2023-04-16T10:14:34Z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E11D4C2A98844D55B02A860776337057_12</vt:lpwstr>
  </property>
</Properties>
</file>