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ind w:left="0" w:right="0"/>
        <w:jc w:val="center"/>
        <w:rPr>
          <w:b w:val="0"/>
          <w:bCs w:val="0"/>
          <w:sz w:val="24"/>
          <w:szCs w:val="24"/>
        </w:rPr>
      </w:pPr>
      <w:bookmarkStart w:id="0" w:name="_GoBack"/>
      <w:r>
        <w:rPr>
          <w:b w:val="0"/>
          <w:bCs w:val="0"/>
          <w:i w:val="0"/>
          <w:iCs w:val="0"/>
          <w:caps w:val="0"/>
          <w:color w:val="333333"/>
          <w:spacing w:val="0"/>
          <w:sz w:val="24"/>
          <w:szCs w:val="24"/>
          <w:bdr w:val="none" w:color="auto" w:sz="0" w:space="0"/>
        </w:rPr>
        <w:t>湖南师范大学化学化工学院2023年硕士研究生接收调剂生的通知</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300" w:afterAutospacing="0"/>
        <w:ind w:left="0" w:right="0"/>
        <w:jc w:val="center"/>
        <w:rPr>
          <w:color w:val="666666"/>
        </w:rPr>
      </w:pPr>
      <w:r>
        <w:rPr>
          <w:rFonts w:ascii="微软雅黑" w:hAnsi="微软雅黑" w:eastAsia="微软雅黑" w:cs="微软雅黑"/>
          <w:i w:val="0"/>
          <w:iCs w:val="0"/>
          <w:caps w:val="0"/>
          <w:color w:val="666666"/>
          <w:spacing w:val="0"/>
          <w:sz w:val="14"/>
          <w:szCs w:val="14"/>
          <w:bdr w:val="none" w:color="auto" w:sz="0" w:space="0"/>
        </w:rPr>
        <w:t>作者：</w:t>
      </w:r>
      <w:r>
        <w:rPr>
          <w:rFonts w:hint="eastAsia" w:ascii="微软雅黑" w:hAnsi="微软雅黑" w:eastAsia="微软雅黑" w:cs="微软雅黑"/>
          <w:i w:val="0"/>
          <w:iCs w:val="0"/>
          <w:caps w:val="0"/>
          <w:color w:val="666666"/>
          <w:spacing w:val="0"/>
          <w:sz w:val="14"/>
          <w:szCs w:val="14"/>
          <w:bdr w:val="none" w:color="auto" w:sz="0" w:space="0"/>
        </w:rPr>
        <w:t>来源：发布日期：2023年04月05日 09:33浏览次数：6088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湖南师范大学化学化工学院现有少量硕士研究生调剂需求，具体调剂信息如下：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1、调剂专业及条件</w:t>
      </w:r>
    </w:p>
    <w:tbl>
      <w:tblPr>
        <w:tblW w:w="6470" w:type="dxa"/>
        <w:tblInd w:w="5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400"/>
        <w:gridCol w:w="912"/>
        <w:gridCol w:w="1100"/>
        <w:gridCol w:w="700"/>
        <w:gridCol w:w="460"/>
        <w:gridCol w:w="314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430" w:hRule="atLeast"/>
        </w:trPr>
        <w:tc>
          <w:tcPr>
            <w:tcW w:w="4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Style w:val="6"/>
                <w:sz w:val="28"/>
                <w:szCs w:val="28"/>
                <w:bdr w:val="none" w:color="auto" w:sz="0" w:space="0"/>
              </w:rPr>
              <w:t>序号</w:t>
            </w:r>
          </w:p>
        </w:tc>
        <w:tc>
          <w:tcPr>
            <w:tcW w:w="6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Style w:val="6"/>
                <w:sz w:val="28"/>
                <w:szCs w:val="28"/>
                <w:bdr w:val="none" w:color="auto" w:sz="0" w:space="0"/>
              </w:rPr>
              <w:t>专业代码</w:t>
            </w:r>
          </w:p>
        </w:tc>
        <w:tc>
          <w:tcPr>
            <w:tcW w:w="11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Style w:val="6"/>
                <w:sz w:val="28"/>
                <w:szCs w:val="28"/>
                <w:bdr w:val="none" w:color="auto" w:sz="0" w:space="0"/>
              </w:rPr>
              <w:t>专业名称</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Style w:val="6"/>
                <w:sz w:val="28"/>
                <w:szCs w:val="28"/>
                <w:bdr w:val="none" w:color="auto" w:sz="0" w:space="0"/>
              </w:rPr>
              <w:t>学习方式</w:t>
            </w:r>
          </w:p>
        </w:tc>
        <w:tc>
          <w:tcPr>
            <w:tcW w:w="4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Style w:val="6"/>
                <w:sz w:val="28"/>
                <w:szCs w:val="28"/>
                <w:bdr w:val="none" w:color="auto" w:sz="0" w:space="0"/>
              </w:rPr>
              <w:t>缺额</w:t>
            </w:r>
          </w:p>
        </w:tc>
        <w:tc>
          <w:tcPr>
            <w:tcW w:w="31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Style w:val="6"/>
                <w:sz w:val="28"/>
                <w:szCs w:val="28"/>
                <w:bdr w:val="none" w:color="auto" w:sz="0" w:space="0"/>
              </w:rPr>
              <w:t>调剂要求</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880" w:hRule="atLeast"/>
        </w:trPr>
        <w:tc>
          <w:tcPr>
            <w:tcW w:w="4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w:t>
            </w:r>
          </w:p>
        </w:tc>
        <w:tc>
          <w:tcPr>
            <w:tcW w:w="6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045106</w:t>
            </w:r>
          </w:p>
        </w:tc>
        <w:tc>
          <w:tcPr>
            <w:tcW w:w="11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学科教学（化学）</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全日制</w:t>
            </w:r>
          </w:p>
        </w:tc>
        <w:tc>
          <w:tcPr>
            <w:tcW w:w="4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2</w:t>
            </w:r>
          </w:p>
        </w:tc>
        <w:tc>
          <w:tcPr>
            <w:tcW w:w="3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（1）初试成绩符合第一志愿报考专业在调入地区的全国初试成绩基本要求；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（2）第一志愿专业为学科教学（化学）或相近专业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（3）对本科或工作期间取得科研成果或在省级以上学科竞赛中获奖的考生优先考虑。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920" w:hRule="atLeast"/>
        </w:trPr>
        <w:tc>
          <w:tcPr>
            <w:tcW w:w="4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2</w:t>
            </w:r>
          </w:p>
        </w:tc>
        <w:tc>
          <w:tcPr>
            <w:tcW w:w="6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045106</w:t>
            </w:r>
          </w:p>
        </w:tc>
        <w:tc>
          <w:tcPr>
            <w:tcW w:w="11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学科教学（化学）</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非全日制</w:t>
            </w:r>
          </w:p>
        </w:tc>
        <w:tc>
          <w:tcPr>
            <w:tcW w:w="4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3</w:t>
            </w:r>
          </w:p>
        </w:tc>
        <w:tc>
          <w:tcPr>
            <w:tcW w:w="3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（1）初试成绩符合第一志愿报考专业在调入地区的全国初试成绩基本要求；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（2）第一志愿专业为学科教学（化学）或相近专业；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（3）对本科或工作期间取得科研成果或在省级以上学科竞赛中获奖的考生优先考虑。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840" w:hRule="atLeast"/>
        </w:trPr>
        <w:tc>
          <w:tcPr>
            <w:tcW w:w="4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3</w:t>
            </w:r>
          </w:p>
        </w:tc>
        <w:tc>
          <w:tcPr>
            <w:tcW w:w="6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070300</w:t>
            </w:r>
          </w:p>
        </w:tc>
        <w:tc>
          <w:tcPr>
            <w:tcW w:w="11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化学</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全日制</w:t>
            </w:r>
          </w:p>
        </w:tc>
        <w:tc>
          <w:tcPr>
            <w:tcW w:w="4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20</w:t>
            </w:r>
          </w:p>
        </w:tc>
        <w:tc>
          <w:tcPr>
            <w:tcW w:w="3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（1）初试成绩符合第一志愿报考专业在调入地区的全国初试成绩基本要求；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（2）第一志愿专业与化学专业相同或相近；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（3）对具有科研、创新、获奖及外语水平等能反映科研潜能的考生的优先考虑。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000" w:hRule="atLeast"/>
        </w:trPr>
        <w:tc>
          <w:tcPr>
            <w:tcW w:w="4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4</w:t>
            </w:r>
          </w:p>
        </w:tc>
        <w:tc>
          <w:tcPr>
            <w:tcW w:w="6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100704</w:t>
            </w:r>
          </w:p>
        </w:tc>
        <w:tc>
          <w:tcPr>
            <w:tcW w:w="11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药物分析学</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全日制</w:t>
            </w:r>
          </w:p>
        </w:tc>
        <w:tc>
          <w:tcPr>
            <w:tcW w:w="4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4</w:t>
            </w:r>
          </w:p>
        </w:tc>
        <w:tc>
          <w:tcPr>
            <w:tcW w:w="3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（1）初试成绩符合第一志愿报考专业在调入地区的全国初试成绩基本要求；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（2）第一志愿专业与药学专业、分析化学专业相关；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（3）对具有科研、创新、获奖及外语水平等能反映科研潜能的考生的优先考虑。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810" w:hRule="atLeast"/>
        </w:trPr>
        <w:tc>
          <w:tcPr>
            <w:tcW w:w="4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5</w:t>
            </w:r>
          </w:p>
        </w:tc>
        <w:tc>
          <w:tcPr>
            <w:tcW w:w="6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081700</w:t>
            </w:r>
          </w:p>
        </w:tc>
        <w:tc>
          <w:tcPr>
            <w:tcW w:w="11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化学工程与技术</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全日制</w:t>
            </w:r>
          </w:p>
        </w:tc>
        <w:tc>
          <w:tcPr>
            <w:tcW w:w="4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6</w:t>
            </w:r>
          </w:p>
        </w:tc>
        <w:tc>
          <w:tcPr>
            <w:tcW w:w="3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（1）初试成绩符合第一志愿报考专业在调入地区的全国初试成绩基本要求；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（2）第一志愿专业与化学、化工专业相同或相近；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（3）对具有科研、创新、获奖及外语水平等能反映科研潜能的考生的优先考虑。</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2、调剂流程：申请调剂的考生可于4月6日00:00-12:00登录 “中国研究生招生信息网”（</w:t>
      </w:r>
      <w:r>
        <w:rPr>
          <w:rFonts w:hint="eastAsia" w:ascii="微软雅黑" w:hAnsi="微软雅黑" w:eastAsia="微软雅黑" w:cs="微软雅黑"/>
          <w:i w:val="0"/>
          <w:iCs w:val="0"/>
          <w:caps w:val="0"/>
          <w:color w:val="1E50A2"/>
          <w:spacing w:val="0"/>
          <w:sz w:val="28"/>
          <w:szCs w:val="28"/>
          <w:u w:val="single"/>
          <w:bdr w:val="none" w:color="auto" w:sz="0" w:space="0"/>
        </w:rPr>
        <w:fldChar w:fldCharType="begin"/>
      </w:r>
      <w:r>
        <w:rPr>
          <w:rFonts w:hint="eastAsia" w:ascii="微软雅黑" w:hAnsi="微软雅黑" w:eastAsia="微软雅黑" w:cs="微软雅黑"/>
          <w:i w:val="0"/>
          <w:iCs w:val="0"/>
          <w:caps w:val="0"/>
          <w:color w:val="1E50A2"/>
          <w:spacing w:val="0"/>
          <w:sz w:val="28"/>
          <w:szCs w:val="28"/>
          <w:u w:val="single"/>
          <w:bdr w:val="none" w:color="auto" w:sz="0" w:space="0"/>
        </w:rPr>
        <w:instrText xml:space="preserve"> HYPERLINK "http://yz.chsi.com.cn/" </w:instrText>
      </w:r>
      <w:r>
        <w:rPr>
          <w:rFonts w:hint="eastAsia" w:ascii="微软雅黑" w:hAnsi="微软雅黑" w:eastAsia="微软雅黑" w:cs="微软雅黑"/>
          <w:i w:val="0"/>
          <w:iCs w:val="0"/>
          <w:caps w:val="0"/>
          <w:color w:val="1E50A2"/>
          <w:spacing w:val="0"/>
          <w:sz w:val="28"/>
          <w:szCs w:val="28"/>
          <w:u w:val="single"/>
          <w:bdr w:val="none" w:color="auto" w:sz="0" w:space="0"/>
        </w:rPr>
        <w:fldChar w:fldCharType="separate"/>
      </w:r>
      <w:r>
        <w:rPr>
          <w:rStyle w:val="7"/>
          <w:rFonts w:hint="eastAsia" w:ascii="微软雅黑" w:hAnsi="微软雅黑" w:eastAsia="微软雅黑" w:cs="微软雅黑"/>
          <w:i w:val="0"/>
          <w:iCs w:val="0"/>
          <w:caps w:val="0"/>
          <w:color w:val="1E50A2"/>
          <w:spacing w:val="0"/>
          <w:sz w:val="28"/>
          <w:szCs w:val="28"/>
          <w:u w:val="single"/>
          <w:bdr w:val="none" w:color="auto" w:sz="0" w:space="0"/>
        </w:rPr>
        <w:t>http://yz.chsi.com.cn</w:t>
      </w:r>
      <w:r>
        <w:rPr>
          <w:rFonts w:hint="eastAsia" w:ascii="微软雅黑" w:hAnsi="微软雅黑" w:eastAsia="微软雅黑" w:cs="微软雅黑"/>
          <w:i w:val="0"/>
          <w:iCs w:val="0"/>
          <w:caps w:val="0"/>
          <w:color w:val="1E50A2"/>
          <w:spacing w:val="0"/>
          <w:sz w:val="28"/>
          <w:szCs w:val="28"/>
          <w:u w:val="single"/>
          <w:bdr w:val="none" w:color="auto" w:sz="0" w:space="0"/>
        </w:rPr>
        <w:fldChar w:fldCharType="end"/>
      </w:r>
      <w:r>
        <w:rPr>
          <w:rFonts w:hint="eastAsia" w:ascii="微软雅黑" w:hAnsi="微软雅黑" w:eastAsia="微软雅黑" w:cs="微软雅黑"/>
          <w:i w:val="0"/>
          <w:iCs w:val="0"/>
          <w:caps w:val="0"/>
          <w:color w:val="727272"/>
          <w:spacing w:val="0"/>
          <w:sz w:val="28"/>
          <w:szCs w:val="28"/>
          <w:bdr w:val="none" w:color="auto" w:sz="0" w:space="0"/>
        </w:rPr>
        <w:t>）调剂平台填写调剂志愿，并及时确认。考生务必及时登录研招网调剂系统，认真填写、提交调剂志愿，进行网上调剂申请，否则调剂无效。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3、调剂考生资格审查材料（相关材料明细参看《化学化工学院2023年硕士研究生复试方案》）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4、调剂复试时间：另行通知。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如欲获取最新调剂信息和调剂复试相关安排，敬请及时关注湖南师范大学研究生院官网和化学化工学院官网。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righ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湖南师范大学化学化工学院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50" w:right="50" w:firstLine="420"/>
        <w:jc w:val="righ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2023年4月4日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0A454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2023-05-28T03:08:52Z</dcterms:created>
  <dc:creator>Administrator</dc:creator>
  <cp:lastModifiedBy>王英</cp:lastModifiedBy>
  <dcterms:modified xsi:type="dcterms:W3CDTF">2023-05-28T03:08:58Z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61158145366E43C6BA7F1C6EE1B92408</vt:lpwstr>
  </property>
</Properties>
</file>