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11" w:lineRule="atLeast"/>
        <w:ind w:left="0" w:right="0" w:firstLine="0"/>
        <w:jc w:val="center"/>
        <w:rPr>
          <w:rFonts w:ascii="Helvetica" w:hAnsi="Helvetica" w:eastAsia="Helvetica" w:cs="Helvetica"/>
          <w:b w:val="0"/>
          <w:bCs w:val="0"/>
          <w:i w:val="0"/>
          <w:iCs w:val="0"/>
          <w:caps w:val="0"/>
          <w:color w:val="B8272A"/>
          <w:spacing w:val="0"/>
          <w:sz w:val="22"/>
          <w:szCs w:val="22"/>
        </w:rPr>
      </w:pPr>
      <w:bookmarkStart w:id="0" w:name="_GoBack"/>
      <w:r>
        <w:rPr>
          <w:rFonts w:hint="default" w:ascii="Helvetica" w:hAnsi="Helvetica" w:eastAsia="Helvetica" w:cs="Helvetica"/>
          <w:b w:val="0"/>
          <w:bCs w:val="0"/>
          <w:i w:val="0"/>
          <w:iCs w:val="0"/>
          <w:caps w:val="0"/>
          <w:color w:val="B8272A"/>
          <w:spacing w:val="0"/>
          <w:sz w:val="22"/>
          <w:szCs w:val="22"/>
          <w:bdr w:val="none" w:color="auto" w:sz="0" w:space="0"/>
          <w:shd w:val="clear" w:fill="FFFFFF"/>
        </w:rPr>
        <w:t>2023年湖南师范大学商学院研究生调剂工作方案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14"/>
          <w:szCs w:val="14"/>
        </w:rPr>
      </w:pPr>
      <w:r>
        <w:rPr>
          <w:rFonts w:hint="default" w:ascii="Helvetica" w:hAnsi="Helvetica" w:eastAsia="Helvetica" w:cs="Helvetica"/>
          <w:i w:val="0"/>
          <w:iCs w:val="0"/>
          <w:caps w:val="0"/>
          <w:color w:val="333333"/>
          <w:spacing w:val="0"/>
          <w:sz w:val="14"/>
          <w:szCs w:val="14"/>
          <w:bdr w:val="none" w:color="auto" w:sz="0" w:space="0"/>
          <w:shd w:val="clear" w:fill="FFFFFF"/>
        </w:rPr>
        <w:t>  </w:t>
      </w:r>
    </w:p>
    <w:p>
      <w:pPr>
        <w:keepNext w:val="0"/>
        <w:keepLines w:val="0"/>
        <w:widowControl/>
        <w:suppressLineNumbers w:val="0"/>
        <w:pBdr>
          <w:top w:val="none" w:color="auto" w:sz="0" w:space="0"/>
          <w:left w:val="none" w:color="auto" w:sz="0" w:space="0"/>
          <w:bottom w:val="single" w:color="E5E5E5" w:sz="4" w:space="0"/>
          <w:right w:val="none" w:color="auto" w:sz="0" w:space="0"/>
        </w:pBdr>
        <w:shd w:val="clear" w:fill="FFFFFF"/>
        <w:spacing w:before="0" w:beforeAutospacing="0" w:after="0" w:afterAutospacing="0" w:line="380" w:lineRule="atLeast"/>
        <w:ind w:left="0" w:right="0" w:firstLine="0"/>
        <w:jc w:val="center"/>
        <w:rPr>
          <w:rFonts w:hint="default" w:ascii="Helvetica" w:hAnsi="Helvetica" w:eastAsia="Helvetica" w:cs="Helvetica"/>
          <w:i w:val="0"/>
          <w:iCs w:val="0"/>
          <w:caps w:val="0"/>
          <w:color w:val="666666"/>
          <w:spacing w:val="0"/>
          <w:sz w:val="12"/>
          <w:szCs w:val="12"/>
        </w:rPr>
      </w:pPr>
      <w:r>
        <w:rPr>
          <w:rFonts w:hint="default" w:ascii="Helvetica" w:hAnsi="Helvetica" w:eastAsia="Helvetica" w:cs="Helvetica"/>
          <w:i w:val="0"/>
          <w:iCs w:val="0"/>
          <w:caps w:val="0"/>
          <w:color w:val="666666"/>
          <w:spacing w:val="0"/>
          <w:kern w:val="0"/>
          <w:sz w:val="12"/>
          <w:szCs w:val="12"/>
          <w:bdr w:val="none" w:color="auto" w:sz="0" w:space="0"/>
          <w:shd w:val="clear" w:fill="FFFFFF"/>
          <w:lang w:val="en-US" w:eastAsia="zh-CN" w:bidi="ar"/>
        </w:rPr>
        <w:t>发布时间：2023-04-05 发布者： 查看次数：9633次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我院部分专业接受少量调剂生，根据学校关于调剂工作的相关文件精神，特制定我院的研究生调剂工作方案。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一、接收调剂专业</w:t>
      </w:r>
    </w:p>
    <w:tbl>
      <w:tblPr>
        <w:tblW w:w="52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460"/>
        <w:gridCol w:w="980"/>
        <w:gridCol w:w="2370"/>
        <w:gridCol w:w="14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jc w:val="center"/>
        </w:trPr>
        <w:tc>
          <w:tcPr>
            <w:tcW w:w="46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Style w:val="6"/>
                <w:rFonts w:hint="eastAsia" w:ascii="宋体" w:hAnsi="宋体" w:eastAsia="宋体" w:cs="宋体"/>
                <w:b/>
                <w:bCs/>
                <w:sz w:val="16"/>
                <w:szCs w:val="16"/>
                <w:bdr w:val="none" w:color="auto" w:sz="0" w:space="0"/>
              </w:rPr>
              <w:t>序号</w:t>
            </w:r>
          </w:p>
        </w:tc>
        <w:tc>
          <w:tcPr>
            <w:tcW w:w="980"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Style w:val="6"/>
                <w:rFonts w:hint="eastAsia" w:ascii="宋体" w:hAnsi="宋体" w:eastAsia="宋体" w:cs="宋体"/>
                <w:b/>
                <w:bCs/>
                <w:sz w:val="16"/>
                <w:szCs w:val="16"/>
                <w:bdr w:val="none" w:color="auto" w:sz="0" w:space="0"/>
              </w:rPr>
              <w:t>专业代码</w:t>
            </w:r>
          </w:p>
        </w:tc>
        <w:tc>
          <w:tcPr>
            <w:tcW w:w="2370"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Style w:val="6"/>
                <w:rFonts w:hint="eastAsia" w:ascii="宋体" w:hAnsi="宋体" w:eastAsia="宋体" w:cs="宋体"/>
                <w:b/>
                <w:bCs/>
                <w:sz w:val="16"/>
                <w:szCs w:val="16"/>
                <w:bdr w:val="none" w:color="auto" w:sz="0" w:space="0"/>
              </w:rPr>
              <w:t>专业名称</w:t>
            </w:r>
          </w:p>
        </w:tc>
        <w:tc>
          <w:tcPr>
            <w:tcW w:w="1450"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Style w:val="6"/>
                <w:rFonts w:hint="eastAsia" w:ascii="宋体" w:hAnsi="宋体" w:eastAsia="宋体" w:cs="宋体"/>
                <w:b/>
                <w:bCs/>
                <w:sz w:val="16"/>
                <w:szCs w:val="16"/>
                <w:bdr w:val="none" w:color="auto" w:sz="0" w:space="0"/>
              </w:rPr>
              <w:t>学习方式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20" w:hRule="atLeast"/>
          <w:jc w:val="center"/>
        </w:trPr>
        <w:tc>
          <w:tcPr>
            <w:tcW w:w="460" w:type="dxa"/>
            <w:tcBorders>
              <w:top w:val="nil"/>
              <w:left w:val="single" w:color="000000" w:sz="4" w:space="0"/>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1</w:t>
            </w:r>
          </w:p>
        </w:tc>
        <w:tc>
          <w:tcPr>
            <w:tcW w:w="98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020100</w:t>
            </w:r>
          </w:p>
        </w:tc>
        <w:tc>
          <w:tcPr>
            <w:tcW w:w="237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理论经济学</w:t>
            </w:r>
          </w:p>
        </w:tc>
        <w:tc>
          <w:tcPr>
            <w:tcW w:w="145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全日制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20" w:hRule="atLeast"/>
          <w:jc w:val="center"/>
        </w:trPr>
        <w:tc>
          <w:tcPr>
            <w:tcW w:w="460" w:type="dxa"/>
            <w:tcBorders>
              <w:top w:val="nil"/>
              <w:left w:val="single" w:color="000000" w:sz="4" w:space="0"/>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2</w:t>
            </w:r>
          </w:p>
        </w:tc>
        <w:tc>
          <w:tcPr>
            <w:tcW w:w="98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025100</w:t>
            </w:r>
          </w:p>
        </w:tc>
        <w:tc>
          <w:tcPr>
            <w:tcW w:w="237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金融硕士（</w:t>
            </w:r>
            <w:r>
              <w:rPr>
                <w:rFonts w:hint="default" w:ascii="Times New Roman" w:hAnsi="Times New Roman" w:eastAsia="宋体" w:cs="Times New Roman"/>
                <w:sz w:val="16"/>
                <w:szCs w:val="16"/>
                <w:bdr w:val="none" w:color="auto" w:sz="0" w:space="0"/>
              </w:rPr>
              <w:t>MF</w:t>
            </w:r>
            <w:r>
              <w:rPr>
                <w:rFonts w:hint="eastAsia" w:ascii="宋体" w:hAnsi="宋体" w:eastAsia="宋体" w:cs="宋体"/>
                <w:sz w:val="16"/>
                <w:szCs w:val="16"/>
                <w:bdr w:val="none" w:color="auto" w:sz="0" w:space="0"/>
              </w:rPr>
              <w:t>）</w:t>
            </w:r>
          </w:p>
        </w:tc>
        <w:tc>
          <w:tcPr>
            <w:tcW w:w="145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全日制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20" w:hRule="atLeast"/>
          <w:jc w:val="center"/>
        </w:trPr>
        <w:tc>
          <w:tcPr>
            <w:tcW w:w="460" w:type="dxa"/>
            <w:tcBorders>
              <w:top w:val="nil"/>
              <w:left w:val="single" w:color="000000" w:sz="4" w:space="0"/>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3</w:t>
            </w:r>
          </w:p>
        </w:tc>
        <w:tc>
          <w:tcPr>
            <w:tcW w:w="98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125100</w:t>
            </w:r>
          </w:p>
        </w:tc>
        <w:tc>
          <w:tcPr>
            <w:tcW w:w="2370" w:type="dxa"/>
            <w:tcBorders>
              <w:top w:val="nil"/>
              <w:left w:val="nil"/>
              <w:bottom w:val="outset" w:color="auto"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工商管理硕士（MBA）</w:t>
            </w:r>
          </w:p>
        </w:tc>
        <w:tc>
          <w:tcPr>
            <w:tcW w:w="145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非全日制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460" w:type="dxa"/>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4</w:t>
            </w:r>
          </w:p>
        </w:tc>
        <w:tc>
          <w:tcPr>
            <w:tcW w:w="98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125300</w:t>
            </w:r>
          </w:p>
        </w:tc>
        <w:tc>
          <w:tcPr>
            <w:tcW w:w="237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会计硕士（</w:t>
            </w:r>
            <w:r>
              <w:rPr>
                <w:rFonts w:hint="default" w:ascii="Times New Roman" w:hAnsi="Times New Roman" w:eastAsia="宋体" w:cs="Times New Roman"/>
                <w:sz w:val="16"/>
                <w:szCs w:val="16"/>
                <w:bdr w:val="none" w:color="auto" w:sz="0" w:space="0"/>
              </w:rPr>
              <w:t>MPAcc</w:t>
            </w:r>
            <w:r>
              <w:rPr>
                <w:rFonts w:hint="eastAsia" w:ascii="宋体" w:hAnsi="宋体" w:eastAsia="宋体" w:cs="宋体"/>
                <w:sz w:val="16"/>
                <w:szCs w:val="16"/>
                <w:bdr w:val="none" w:color="auto" w:sz="0" w:space="0"/>
              </w:rPr>
              <w:t>）</w:t>
            </w:r>
          </w:p>
        </w:tc>
        <w:tc>
          <w:tcPr>
            <w:tcW w:w="1450" w:type="dxa"/>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center"/>
            </w:pPr>
            <w:r>
              <w:rPr>
                <w:rFonts w:hint="eastAsia" w:ascii="宋体" w:hAnsi="宋体" w:eastAsia="宋体" w:cs="宋体"/>
                <w:sz w:val="16"/>
                <w:szCs w:val="16"/>
                <w:bdr w:val="none" w:color="auto" w:sz="0" w:space="0"/>
              </w:rPr>
              <w:t>非全日制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jc w:val="center"/>
      </w:pPr>
      <w:r>
        <w:rPr>
          <w:rFonts w:hint="eastAsia" w:ascii="宋体" w:hAnsi="宋体" w:eastAsia="宋体" w:cs="宋体"/>
          <w:i w:val="0"/>
          <w:iCs w:val="0"/>
          <w:caps w:val="0"/>
          <w:color w:val="333333"/>
          <w:spacing w:val="0"/>
          <w:sz w:val="14"/>
          <w:szCs w:val="14"/>
          <w:bdr w:val="none" w:color="auto" w:sz="0" w:space="0"/>
          <w:shd w:val="clear" w:fill="FFFFFF"/>
        </w:rPr>
        <w:t>备注：具体的调剂缺额及调剂要求以学校在“全国硕士研究生招生调剂服务系统”公布的信息为准。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3.调入专业与第一志愿报考专业相同或相近，应在同一学科门类范围内（可授予不同学科门类学位的专业可跨门类在对应专业所属一级学科范围内进行调剂）。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4. 初试科目与调入专业初试科目相同或相近，其中初试全国统一命题科目应与调入专业全国统一命题科目相同（考生初试统考科目涵盖调入专业所有统考科目的，视为相同）。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在全国统一命题科目中，英语一、英语二可视为相同；数学一、数学二、数学三、数学（农）和经济类综合能力可视为相同；数学（农）和化学（农）可视为相同。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5、参加单独考试的考生不得调剂。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1、所有申请调剂的考生，</w:t>
      </w:r>
      <w:r>
        <w:rPr>
          <w:rStyle w:val="6"/>
          <w:rFonts w:hint="eastAsia" w:ascii="宋体" w:hAnsi="宋体" w:eastAsia="宋体" w:cs="宋体"/>
          <w:b/>
          <w:bCs/>
          <w:i w:val="0"/>
          <w:iCs w:val="0"/>
          <w:caps w:val="0"/>
          <w:color w:val="333333"/>
          <w:spacing w:val="0"/>
          <w:sz w:val="16"/>
          <w:szCs w:val="16"/>
          <w:bdr w:val="none" w:color="auto" w:sz="0" w:space="0"/>
          <w:shd w:val="clear" w:fill="FFFFFF"/>
        </w:rPr>
        <w:t>均须登陆“全国硕士研究生招生调剂服务系统”（以下简称“调剂系统”）</w:t>
      </w:r>
      <w:r>
        <w:rPr>
          <w:rFonts w:hint="eastAsia" w:ascii="宋体" w:hAnsi="宋体" w:eastAsia="宋体" w:cs="宋体"/>
          <w:i w:val="0"/>
          <w:iCs w:val="0"/>
          <w:caps w:val="0"/>
          <w:color w:val="042F51"/>
          <w:spacing w:val="0"/>
          <w:sz w:val="16"/>
          <w:szCs w:val="16"/>
          <w:u w:val="single"/>
          <w:bdr w:val="none" w:color="auto" w:sz="0" w:space="0"/>
          <w:shd w:val="clear" w:fill="FFFFFF"/>
        </w:rPr>
        <w:fldChar w:fldCharType="begin"/>
      </w:r>
      <w:r>
        <w:rPr>
          <w:rFonts w:hint="eastAsia" w:ascii="宋体" w:hAnsi="宋体" w:eastAsia="宋体" w:cs="宋体"/>
          <w:i w:val="0"/>
          <w:iCs w:val="0"/>
          <w:caps w:val="0"/>
          <w:color w:val="042F51"/>
          <w:spacing w:val="0"/>
          <w:sz w:val="16"/>
          <w:szCs w:val="16"/>
          <w:u w:val="single"/>
          <w:bdr w:val="none" w:color="auto" w:sz="0" w:space="0"/>
          <w:shd w:val="clear" w:fill="FFFFFF"/>
        </w:rPr>
        <w:instrText xml:space="preserve"> HYPERLINK "https://yz.chsi.com.cn/yztj/" </w:instrText>
      </w:r>
      <w:r>
        <w:rPr>
          <w:rFonts w:hint="eastAsia" w:ascii="宋体" w:hAnsi="宋体" w:eastAsia="宋体" w:cs="宋体"/>
          <w:i w:val="0"/>
          <w:iCs w:val="0"/>
          <w:caps w:val="0"/>
          <w:color w:val="042F51"/>
          <w:spacing w:val="0"/>
          <w:sz w:val="16"/>
          <w:szCs w:val="16"/>
          <w:u w:val="single"/>
          <w:bdr w:val="none" w:color="auto" w:sz="0" w:space="0"/>
          <w:shd w:val="clear" w:fill="FFFFFF"/>
        </w:rPr>
        <w:fldChar w:fldCharType="separate"/>
      </w:r>
      <w:r>
        <w:rPr>
          <w:rStyle w:val="7"/>
          <w:rFonts w:hint="eastAsia" w:ascii="宋体" w:hAnsi="宋体" w:eastAsia="宋体" w:cs="宋体"/>
          <w:i w:val="0"/>
          <w:iCs w:val="0"/>
          <w:caps w:val="0"/>
          <w:color w:val="042F51"/>
          <w:spacing w:val="0"/>
          <w:sz w:val="16"/>
          <w:szCs w:val="16"/>
          <w:u w:val="single"/>
          <w:bdr w:val="none" w:color="auto" w:sz="0" w:space="0"/>
          <w:shd w:val="clear" w:fill="FFFFFF"/>
        </w:rPr>
        <w:t>https://yz.chsi.com.cn/yztj/</w:t>
      </w:r>
      <w:r>
        <w:rPr>
          <w:rFonts w:hint="eastAsia" w:ascii="宋体" w:hAnsi="宋体" w:eastAsia="宋体" w:cs="宋体"/>
          <w:i w:val="0"/>
          <w:iCs w:val="0"/>
          <w:caps w:val="0"/>
          <w:color w:val="042F51"/>
          <w:spacing w:val="0"/>
          <w:sz w:val="16"/>
          <w:szCs w:val="16"/>
          <w:u w:val="single"/>
          <w:bdr w:val="none" w:color="auto" w:sz="0" w:space="0"/>
          <w:shd w:val="clear" w:fill="FFFFFF"/>
        </w:rPr>
        <w:fldChar w:fldCharType="end"/>
      </w:r>
      <w:r>
        <w:rPr>
          <w:rFonts w:hint="eastAsia" w:ascii="宋体" w:hAnsi="宋体" w:eastAsia="宋体" w:cs="宋体"/>
          <w:i w:val="0"/>
          <w:iCs w:val="0"/>
          <w:caps w:val="0"/>
          <w:color w:val="333333"/>
          <w:spacing w:val="0"/>
          <w:sz w:val="16"/>
          <w:szCs w:val="16"/>
          <w:bdr w:val="none" w:color="auto" w:sz="0" w:space="0"/>
          <w:shd w:val="clear" w:fill="FFFFFF"/>
        </w:rPr>
        <w:t>，在网上提交调剂申请。我校每次开放调剂系统持续时间不低于12个小时。报考我校的调剂生调剂志愿锁定时间为24小时。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2、学院根据择优原则确定调剂复试名单，名单经研究生院审核通过后将在“调剂系统”发放复试通知，考生须登录该系统进行确认。学院同时在本院网站公布调剂复试名单。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3、拟录取名单确认后，研究生院为拟录取的调剂考生在“调剂系统”发放拟录取通知，考生须登录该系统进行确认。考生未按时接受拟录取的视为放弃拟录取资格。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四、资格审查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资格审查由学院负责，研究生院进行复查。</w:t>
      </w:r>
      <w:r>
        <w:rPr>
          <w:rStyle w:val="6"/>
          <w:rFonts w:hint="eastAsia" w:ascii="宋体" w:hAnsi="宋体" w:eastAsia="宋体" w:cs="宋体"/>
          <w:b/>
          <w:bCs/>
          <w:i w:val="0"/>
          <w:iCs w:val="0"/>
          <w:caps w:val="0"/>
          <w:color w:val="333333"/>
          <w:spacing w:val="0"/>
          <w:sz w:val="16"/>
          <w:szCs w:val="16"/>
          <w:bdr w:val="none" w:color="auto" w:sz="0" w:space="0"/>
          <w:shd w:val="clear" w:fill="FFFFFF"/>
        </w:rPr>
        <w:t>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应届本科毕业生持注册完整的学生证（或学校教务处开具的学籍证明）。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6.报考“退役大学生士兵计划”的考生请提前准备好本人的《男（女）性应征公民入伍批准书》和《退出现役证》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五、复试科目及成绩核算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复试包括笔试和面试，总分220分。笔试科目满分120分，题量3小时；面试满分100分。笔试内容请查询研究生院官网上公布的考试大纲。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（一）笔试科目</w:t>
      </w:r>
    </w:p>
    <w:tbl>
      <w:tblPr>
        <w:tblW w:w="521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904"/>
        <w:gridCol w:w="1573"/>
        <w:gridCol w:w="17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CellMar>
            <w:top w:w="15" w:type="dxa"/>
            <w:left w:w="15" w:type="dxa"/>
            <w:bottom w:w="15" w:type="dxa"/>
            <w:right w:w="15" w:type="dxa"/>
          </w:tblCellMar>
        </w:tblPrEx>
        <w:trPr>
          <w:trHeight w:val="310" w:hRule="atLeast"/>
          <w:jc w:val="center"/>
        </w:trPr>
        <w:tc>
          <w:tcPr>
            <w:tcW w:w="19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sz w:val="16"/>
                <w:szCs w:val="16"/>
                <w:bdr w:val="none" w:color="auto" w:sz="0" w:space="0"/>
                <w:shd w:val="clear" w:fill="FFFFFF"/>
              </w:rPr>
              <w:t>报考专业</w:t>
            </w:r>
          </w:p>
        </w:tc>
        <w:tc>
          <w:tcPr>
            <w:tcW w:w="15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center"/>
            </w:pPr>
            <w:r>
              <w:rPr>
                <w:rFonts w:hint="eastAsia" w:ascii="宋体" w:hAnsi="宋体" w:eastAsia="宋体" w:cs="宋体"/>
                <w:sz w:val="16"/>
                <w:szCs w:val="16"/>
                <w:bdr w:val="none" w:color="auto" w:sz="0" w:space="0"/>
                <w:shd w:val="clear" w:fill="FFFFFF"/>
              </w:rPr>
              <w:t>报考方向</w:t>
            </w:r>
          </w:p>
        </w:tc>
        <w:tc>
          <w:tcPr>
            <w:tcW w:w="17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center"/>
            </w:pPr>
            <w:r>
              <w:rPr>
                <w:rFonts w:hint="eastAsia" w:ascii="宋体" w:hAnsi="宋体" w:eastAsia="宋体" w:cs="宋体"/>
                <w:sz w:val="16"/>
                <w:szCs w:val="16"/>
                <w:bdr w:val="none" w:color="auto" w:sz="0" w:space="0"/>
                <w:shd w:val="clear" w:fill="FFFFFF"/>
              </w:rPr>
              <w:t>笔试科目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70" w:hRule="atLeast"/>
          <w:jc w:val="center"/>
        </w:trPr>
        <w:tc>
          <w:tcPr>
            <w:tcW w:w="1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理论经济学（020100）</w:t>
            </w:r>
          </w:p>
        </w:tc>
        <w:tc>
          <w:tcPr>
            <w:tcW w:w="15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不区分方向</w:t>
            </w:r>
          </w:p>
        </w:tc>
        <w:tc>
          <w:tcPr>
            <w:tcW w:w="1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《经济学综合一》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1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金融硕士（025100）</w:t>
            </w:r>
          </w:p>
        </w:tc>
        <w:tc>
          <w:tcPr>
            <w:tcW w:w="15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不区分方向</w:t>
            </w:r>
          </w:p>
        </w:tc>
        <w:tc>
          <w:tcPr>
            <w:tcW w:w="1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《经济学基础》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工商管理硕士（125100）</w:t>
            </w:r>
          </w:p>
        </w:tc>
        <w:tc>
          <w:tcPr>
            <w:tcW w:w="15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不区分方向</w:t>
            </w:r>
          </w:p>
        </w:tc>
        <w:tc>
          <w:tcPr>
            <w:tcW w:w="1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《政治理论与管理学》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会计硕士（125300）</w:t>
            </w:r>
          </w:p>
        </w:tc>
        <w:tc>
          <w:tcPr>
            <w:tcW w:w="15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不区分方向</w:t>
            </w:r>
          </w:p>
        </w:tc>
        <w:tc>
          <w:tcPr>
            <w:tcW w:w="1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《会计学综合》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（二）面试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面试包括专业素质和综合能力测试、外语听力和口语水平测试。每名考生的面试时间一般不少于20分钟。面试成绩满分100分，其中外语听力和口语测试成绩占20分，专业素质和综合能力的测试成绩占80分。面试成绩低于60分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（三）综合成绩核算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调剂考生的综合成绩核算办法：综合成绩＝初试总成绩×50%+复试成绩。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六、复试工作相关安排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按照学校要求，2023年研究生复试方式为现场复试，复试地点在湖南师范大学商学院（中和楼）。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（一）4月6日零时  开放调剂系统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（二）4月6日下午 公布调剂复试名单并通知考生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（三）4月7日      缴纳复试费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根据学校要求，由学院代收调剂考生复试费，复试费标准为120元/人，通过学院提供的专用收款码缴纳 。资格审查须查看缴费记录，逾期不交费者视为主动放弃复试资格。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（四）4月8-9日  资格审查；笔试及面试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时间安排见下表（具体的考场安排在临考前公布）：</w:t>
      </w:r>
    </w:p>
    <w:tbl>
      <w:tblPr>
        <w:tblW w:w="573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593"/>
        <w:gridCol w:w="1402"/>
        <w:gridCol w:w="1402"/>
        <w:gridCol w:w="13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10" w:hRule="atLeast"/>
          <w:jc w:val="center"/>
        </w:trPr>
        <w:tc>
          <w:tcPr>
            <w:tcW w:w="15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调剂专业</w:t>
            </w:r>
          </w:p>
        </w:tc>
        <w:tc>
          <w:tcPr>
            <w:tcW w:w="14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sz w:val="16"/>
                <w:szCs w:val="16"/>
                <w:bdr w:val="none" w:color="auto" w:sz="0" w:space="0"/>
                <w:shd w:val="clear" w:fill="FFFFFF"/>
              </w:rPr>
              <w:t>资格审查</w:t>
            </w:r>
          </w:p>
        </w:tc>
        <w:tc>
          <w:tcPr>
            <w:tcW w:w="14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sz w:val="16"/>
                <w:szCs w:val="16"/>
                <w:bdr w:val="none" w:color="auto" w:sz="0" w:space="0"/>
                <w:shd w:val="clear" w:fill="FFFFFF"/>
              </w:rPr>
              <w:t>笔试时间</w:t>
            </w:r>
          </w:p>
        </w:tc>
        <w:tc>
          <w:tcPr>
            <w:tcW w:w="13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sz w:val="16"/>
                <w:szCs w:val="16"/>
                <w:bdr w:val="none" w:color="auto" w:sz="0" w:space="0"/>
                <w:shd w:val="clear" w:fill="FFFFFF"/>
              </w:rPr>
              <w:t>面试时间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620" w:hRule="atLeast"/>
          <w:jc w:val="center"/>
        </w:trPr>
        <w:tc>
          <w:tcPr>
            <w:tcW w:w="15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理论经济学、金融硕士、会计硕士</w:t>
            </w:r>
          </w:p>
        </w:tc>
        <w:tc>
          <w:tcPr>
            <w:tcW w:w="14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4月8日（周六）上午8:00-9:00</w:t>
            </w:r>
          </w:p>
        </w:tc>
        <w:tc>
          <w:tcPr>
            <w:tcW w:w="14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4月8日（周六）下午2:30-5:30</w:t>
            </w:r>
          </w:p>
        </w:tc>
        <w:tc>
          <w:tcPr>
            <w:tcW w:w="13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4月8日（周六）上午9:00-12:00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730" w:hRule="atLeast"/>
          <w:jc w:val="center"/>
        </w:trPr>
        <w:tc>
          <w:tcPr>
            <w:tcW w:w="15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工商管理硕士(MBA)</w:t>
            </w:r>
          </w:p>
        </w:tc>
        <w:tc>
          <w:tcPr>
            <w:tcW w:w="14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4月9日（周日）上午8:00-9:00</w:t>
            </w:r>
          </w:p>
        </w:tc>
        <w:tc>
          <w:tcPr>
            <w:tcW w:w="14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4月9日（周日）上午9:00-12:00</w:t>
            </w:r>
          </w:p>
        </w:tc>
        <w:tc>
          <w:tcPr>
            <w:tcW w:w="13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pPr>
            <w:r>
              <w:rPr>
                <w:rFonts w:hint="eastAsia" w:ascii="宋体" w:hAnsi="宋体" w:eastAsia="宋体" w:cs="宋体"/>
                <w:sz w:val="16"/>
                <w:szCs w:val="16"/>
                <w:bdr w:val="none" w:color="auto" w:sz="0" w:space="0"/>
                <w:shd w:val="clear" w:fill="FFFFFF"/>
              </w:rPr>
              <w:t>4月9日（周日）下午2:30-5:30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复试结果公布后7天内，拟录取考生将二级以上医院出具的体检报告扫描件提交到学院。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体检结果不合格的不予录取。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Style w:val="6"/>
          <w:rFonts w:hint="eastAsia" w:ascii="宋体" w:hAnsi="宋体" w:eastAsia="宋体" w:cs="宋体"/>
          <w:b/>
          <w:bCs/>
          <w:i w:val="0"/>
          <w:iCs w:val="0"/>
          <w:caps w:val="0"/>
          <w:color w:val="333333"/>
          <w:spacing w:val="0"/>
          <w:sz w:val="16"/>
          <w:szCs w:val="16"/>
          <w:bdr w:val="none" w:color="auto" w:sz="0" w:space="0"/>
          <w:shd w:val="clear" w:fill="FFFFFF"/>
        </w:rPr>
        <w:t>八、其他注意事项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（一）其他未尽事宜按照《湖南师范大学2023年硕士研究生复试录取工作办法》中关于调剂工作的相关规定执行。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（二）请考生密切关注学校研究生院和学院网站发布的调剂复试信息。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（三）复试结束后，学院将给复试考生发放调档函，非定向就业的考生在确定拟录取后应将个人档案调入我院。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（四）请考生务必保持通讯畅通，若联系方式有变更，应主动联系学院。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（五）未能参加现场复试的视为放弃调剂资格。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right"/>
      </w:pPr>
      <w:r>
        <w:rPr>
          <w:rFonts w:hint="eastAsia" w:ascii="宋体" w:hAnsi="宋体" w:eastAsia="宋体" w:cs="宋体"/>
          <w:i w:val="0"/>
          <w:iCs w:val="0"/>
          <w:caps w:val="0"/>
          <w:color w:val="333333"/>
          <w:spacing w:val="0"/>
          <w:sz w:val="16"/>
          <w:szCs w:val="16"/>
          <w:bdr w:val="none" w:color="auto" w:sz="0" w:space="0"/>
          <w:shd w:val="clear" w:fill="FFFFFF"/>
        </w:rPr>
        <w:t>                                湖南师范大学商学院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right"/>
      </w:pPr>
      <w:r>
        <w:rPr>
          <w:rFonts w:hint="eastAsia" w:ascii="宋体" w:hAnsi="宋体" w:eastAsia="宋体" w:cs="宋体"/>
          <w:i w:val="0"/>
          <w:iCs w:val="0"/>
          <w:caps w:val="0"/>
          <w:color w:val="333333"/>
          <w:spacing w:val="0"/>
          <w:sz w:val="16"/>
          <w:szCs w:val="16"/>
          <w:bdr w:val="none" w:color="auto" w:sz="0" w:space="0"/>
          <w:shd w:val="clear" w:fill="FFFFFF"/>
        </w:rPr>
        <w:t>                                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6BC6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2023-05-28T02:47:05Z</dcterms:created>
  <dc:creator>Administrator</dc:creator>
  <cp:lastModifiedBy>王英</cp:lastModifiedBy>
  <dcterms:modified xsi:type="dcterms:W3CDTF">2023-05-28T02:47:21Z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38662F159FC7454FB566DA1E3B14A832</vt:lpwstr>
  </property>
</Properties>
</file>