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i w:val="0"/>
          <w:caps w:val="0"/>
          <w:color w:val="333333"/>
          <w:spacing w:val="0"/>
          <w:sz w:val="22"/>
          <w:szCs w:val="22"/>
        </w:rPr>
      </w:pPr>
      <w:r>
        <w:rPr>
          <w:rFonts w:hint="eastAsia" w:ascii="微软雅黑" w:hAnsi="微软雅黑" w:eastAsia="微软雅黑" w:cs="微软雅黑"/>
          <w:b/>
          <w:i w:val="0"/>
          <w:caps w:val="0"/>
          <w:color w:val="333333"/>
          <w:spacing w:val="0"/>
          <w:sz w:val="22"/>
          <w:szCs w:val="22"/>
          <w:bdr w:val="none" w:color="auto" w:sz="0" w:space="0"/>
          <w:shd w:val="clear" w:fill="FFFFFF"/>
        </w:rPr>
        <w:t>滨州学院2023年硕士研究生调剂办法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微软雅黑" w:hAnsi="微软雅黑" w:eastAsia="微软雅黑" w:cs="微软雅黑"/>
          <w:i w:val="0"/>
          <w:caps w:val="0"/>
          <w:color w:val="333333"/>
          <w:spacing w:val="0"/>
          <w:sz w:val="13"/>
          <w:szCs w:val="13"/>
        </w:rPr>
      </w:pPr>
      <w:r>
        <w:rPr>
          <w:rFonts w:hint="eastAsia" w:ascii="微软雅黑" w:hAnsi="微软雅黑" w:eastAsia="微软雅黑" w:cs="微软雅黑"/>
          <w:i w:val="0"/>
          <w:caps w:val="0"/>
          <w:color w:val="787878"/>
          <w:spacing w:val="0"/>
          <w:sz w:val="12"/>
          <w:szCs w:val="12"/>
          <w:shd w:val="clear" w:fill="FFFFFF"/>
        </w:rPr>
        <w:t>发布者：研究生处发布时间：2023-04-02浏览次数：2608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为规范调剂工作程序，提升服务质量，确保择优选拔，</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根据《教育部关于印发〈2023年全国硕士研究生招生工作管理规定〉的通知》（教学〔2022〕3号）、教育部学生司《关于做好2023年全国硕士研究生复试录取工作的通知</w:t>
      </w:r>
      <w:r>
        <w:rPr>
          <w:rFonts w:ascii="等线" w:hAnsi="等线" w:eastAsia="等线" w:cs="等线"/>
          <w:i w:val="0"/>
          <w:caps w:val="0"/>
          <w:color w:val="333333"/>
          <w:spacing w:val="0"/>
          <w:kern w:val="0"/>
          <w:sz w:val="21"/>
          <w:szCs w:val="21"/>
          <w:bdr w:val="none" w:color="auto" w:sz="0" w:space="0"/>
          <w:shd w:val="clear" w:fill="FFFFFF"/>
          <w:lang w:val="en-US" w:eastAsia="zh-CN" w:bidi="ar"/>
        </w:rPr>
        <w:t>》（</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教学司〔2023〕3号</w:t>
      </w:r>
      <w:r>
        <w:rPr>
          <w:rFonts w:hint="eastAsia" w:ascii="等线" w:hAnsi="等线" w:eastAsia="等线" w:cs="等线"/>
          <w:i w:val="0"/>
          <w:caps w:val="0"/>
          <w:color w:val="333333"/>
          <w:spacing w:val="0"/>
          <w:kern w:val="0"/>
          <w:sz w:val="21"/>
          <w:szCs w:val="21"/>
          <w:bdr w:val="none" w:color="auto" w:sz="0" w:space="0"/>
          <w:shd w:val="clear" w:fill="FFFFFF"/>
          <w:lang w:val="en-US" w:eastAsia="zh-CN" w:bidi="ar"/>
        </w:rPr>
        <w:t>）</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和山东省教育招生考试院《关于做好山东省2023年硕士研究生复试录取工作的通知》（鲁招考〔2023〕23号）等相关文件要求，结合我校实际，制定本办法。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ascii="黑体" w:hAnsi="宋体" w:eastAsia="黑体" w:cs="黑体"/>
          <w:i w:val="0"/>
          <w:caps w:val="0"/>
          <w:color w:val="333333"/>
          <w:spacing w:val="0"/>
          <w:kern w:val="0"/>
          <w:sz w:val="21"/>
          <w:szCs w:val="21"/>
          <w:bdr w:val="none" w:color="auto" w:sz="0" w:space="0"/>
          <w:shd w:val="clear" w:fill="FFFFFF"/>
          <w:lang w:val="en-US" w:eastAsia="zh-CN" w:bidi="ar"/>
        </w:rPr>
        <w:t>一、基本原则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1.坚持“按需招生、全面衡量、择优录取、宁缺毋滥”原则。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2.坚持以人为本，增强服务意识，提高管理水平。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eastAsia" w:ascii="黑体" w:hAnsi="宋体" w:eastAsia="黑体" w:cs="黑体"/>
          <w:i w:val="0"/>
          <w:caps w:val="0"/>
          <w:color w:val="333333"/>
          <w:spacing w:val="0"/>
          <w:kern w:val="0"/>
          <w:sz w:val="21"/>
          <w:szCs w:val="21"/>
          <w:bdr w:val="none" w:color="auto" w:sz="0" w:space="0"/>
          <w:shd w:val="clear" w:fill="FFFFFF"/>
          <w:lang w:val="en-US" w:eastAsia="zh-CN" w:bidi="ar"/>
        </w:rPr>
        <w:t>二、调剂要求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1.初试成绩达到教育部统一规定的A类地区的全国初试成绩基本要求(单科、总分)。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2.第一志愿报考专业与我校招生专业相同或相近，应在同一学科门类范围（报考工学学科门类（代码08开头）各学科、专业的同学均可）。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3.原初试科目与我校初试科目相同或相近，其中初试全国统一命题科目应与我校招生专业全国统一命题科目相同。考生初试全国统一命题科目涵盖调入专业所有全国统一命题科目的，视为相同。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4.统一命题科目数学一、二、三之间和英语一、二之间可由高向低调，不可由低向高调。如数学一可调至数学二、英语一可调至英语二，不得逆调。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5.报考“退役大学生士兵专项硕士研究生招生计划”考生进入调剂复试的初试成绩要求为总分不低于180分，单科不低于30分。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6.根据招生简章报考条件，我校全部招生领域均不接收同等学力考生的调剂申请。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各单位需在学校调剂基本要求的基础上，根据专业类别特点和生源情况制定本单位的调剂实施细则，报研究生处审核同意后，予以提前公布并严格执行。届时将通过研究生处网站或各单位网站发布。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eastAsia" w:ascii="黑体" w:hAnsi="宋体" w:eastAsia="黑体" w:cs="黑体"/>
          <w:i w:val="0"/>
          <w:caps w:val="0"/>
          <w:color w:val="333333"/>
          <w:spacing w:val="0"/>
          <w:kern w:val="0"/>
          <w:sz w:val="21"/>
          <w:szCs w:val="21"/>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1.研究生处招生办公室在研究生处网站及中国研究生招生信息网上发布接收调剂信息。调剂工作（含校内调剂）一律通过中国研究生招生信息网调剂系统进行，未通过系统调剂的考生录取无效。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2.各二级招生培养单位根据本单位各学科专业生源、余缺情况，制定本单位调剂实施细则，确定具体的初试成绩及学术要求，报学校招生领导小组审定后通过“全国硕士生招生调剂服务系统”提前向社会精准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3.调剂考生登录“全国硕士研究生招生调剂服务系统”填写调剂信息。调剂考生务必检查本人是否符合我校接收调剂的报名条件，经考生确认的报名信息，在复试录取阶段一律不作修改。如因报名信息有误无法录取，责任由考生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4.各单位对考生资格进行初审，确定调剂考生的复试资格，经单位招生工作领导小组审核并报研究生处，经校研究生招生工作领导小组审核确认后由各单位发送复试通知。调剂考生和一志愿上线考生，执行相同的复试程序。如考生在发送复试通知后规定时间内未完成确认操作，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5.我校根据复试结果确定拟录取名单，通过研究生招生信息网调剂服务系统发布拟录取通知，考生务必在接到“拟录取通知”12小时内网上回复确认信息，逾期视为自动放弃拟录取资格，学校将从各二级招生培养单位提交的各学科专业候补录取考生顺序依次递补拟录取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6.考生调剂志愿锁定时间最长不超过36小时。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eastAsia" w:ascii="黑体" w:hAnsi="宋体" w:eastAsia="黑体" w:cs="黑体"/>
          <w:i w:val="0"/>
          <w:caps w:val="0"/>
          <w:color w:val="333333"/>
          <w:spacing w:val="0"/>
          <w:kern w:val="0"/>
          <w:sz w:val="21"/>
          <w:szCs w:val="21"/>
          <w:bdr w:val="none" w:color="auto" w:sz="0" w:space="0"/>
          <w:shd w:val="clear" w:fill="FFFFFF"/>
          <w:lang w:val="en-US" w:eastAsia="zh-CN" w:bidi="ar"/>
        </w:rPr>
        <w:t>四、调剂注意事项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因审核考生报名情况和发送复试通知均需要一定的时间，考生填报调剂志愿结束后若无其他调剂意向，切勿随意修改调剂学校和专业。我校将及时通过系统发送复试或拟录取通知，若由于考生本人修改志愿造成无法接收通知，视为考生自动放弃复试或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eastAsia" w:ascii="黑体" w:hAnsi="宋体" w:eastAsia="黑体" w:cs="黑体"/>
          <w:i w:val="0"/>
          <w:caps w:val="0"/>
          <w:color w:val="333333"/>
          <w:spacing w:val="0"/>
          <w:kern w:val="0"/>
          <w:sz w:val="21"/>
          <w:szCs w:val="21"/>
          <w:bdr w:val="none" w:color="auto" w:sz="0" w:space="0"/>
          <w:shd w:val="clear" w:fill="FFFFFF"/>
          <w:lang w:val="en-US" w:eastAsia="zh-CN" w:bidi="ar"/>
        </w:rPr>
        <w:t>五、调剂联系方式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1.研究生处招生办公室电话：0543-3093508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30"/>
        <w:jc w:val="both"/>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2.各二级招生培养单位联系电话：</w:t>
      </w:r>
    </w:p>
    <w:tbl>
      <w:tblPr>
        <w:tblW w:w="7400" w:type="dxa"/>
        <w:tblInd w:w="0" w:type="dxa"/>
        <w:shd w:val="clear"/>
        <w:tblLayout w:type="autofit"/>
        <w:tblCellMar>
          <w:top w:w="0" w:type="dxa"/>
          <w:left w:w="0" w:type="dxa"/>
          <w:bottom w:w="0" w:type="dxa"/>
          <w:right w:w="0" w:type="dxa"/>
        </w:tblCellMar>
      </w:tblPr>
      <w:tblGrid>
        <w:gridCol w:w="2865"/>
        <w:gridCol w:w="410"/>
        <w:gridCol w:w="1618"/>
        <w:gridCol w:w="1009"/>
        <w:gridCol w:w="1498"/>
      </w:tblGrid>
      <w:tr>
        <w:tblPrEx>
          <w:tblCellMar>
            <w:top w:w="0" w:type="dxa"/>
            <w:left w:w="0" w:type="dxa"/>
            <w:bottom w:w="0" w:type="dxa"/>
            <w:right w:w="0" w:type="dxa"/>
          </w:tblCellMar>
        </w:tblPrEx>
        <w:trPr>
          <w:trHeight w:val="61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ascii="Arial" w:hAnsi="Arial" w:cs="Arial"/>
                <w:sz w:val="20"/>
                <w:szCs w:val="20"/>
              </w:rPr>
            </w:pPr>
            <w:r>
              <w:rPr>
                <w:rStyle w:val="7"/>
                <w:rFonts w:hint="eastAsia" w:ascii="宋体" w:hAnsi="宋体" w:eastAsia="宋体" w:cs="宋体"/>
                <w:b/>
                <w:kern w:val="0"/>
                <w:sz w:val="16"/>
                <w:szCs w:val="16"/>
                <w:bdr w:val="none" w:color="auto" w:sz="0" w:space="0"/>
                <w:lang w:val="en-US" w:eastAsia="zh-CN" w:bidi="ar"/>
              </w:rPr>
              <w:t>二级招生培养</w:t>
            </w:r>
            <w:r>
              <w:rPr>
                <w:rStyle w:val="7"/>
                <w:rFonts w:hint="eastAsia" w:ascii="宋体" w:hAnsi="宋体" w:eastAsia="宋体" w:cs="宋体"/>
                <w:b/>
                <w:kern w:val="0"/>
                <w:sz w:val="16"/>
                <w:szCs w:val="16"/>
                <w:bdr w:val="none" w:color="auto" w:sz="0" w:space="0"/>
                <w:lang w:val="en-US" w:eastAsia="zh-CN" w:bidi="ar"/>
              </w:rPr>
              <w:br w:type="textWrapping"/>
            </w:r>
            <w:r>
              <w:rPr>
                <w:rStyle w:val="7"/>
                <w:rFonts w:hint="eastAsia" w:ascii="宋体" w:hAnsi="宋体" w:eastAsia="宋体" w:cs="宋体"/>
                <w:b/>
                <w:kern w:val="0"/>
                <w:sz w:val="16"/>
                <w:szCs w:val="16"/>
                <w:bdr w:val="none" w:color="auto" w:sz="0" w:space="0"/>
                <w:lang w:val="en-US" w:eastAsia="zh-CN" w:bidi="ar"/>
              </w:rPr>
              <w:t>单位名称</w:t>
            </w:r>
          </w:p>
        </w:tc>
        <w:tc>
          <w:tcPr>
            <w:tcW w:w="4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kern w:val="0"/>
                <w:sz w:val="16"/>
                <w:szCs w:val="16"/>
                <w:bdr w:val="none" w:color="auto" w:sz="0" w:space="0"/>
                <w:lang w:val="en-US" w:eastAsia="zh-CN" w:bidi="ar"/>
              </w:rPr>
              <w:t>招生专业</w:t>
            </w:r>
          </w:p>
        </w:tc>
        <w:tc>
          <w:tcPr>
            <w:tcW w:w="16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kern w:val="0"/>
                <w:sz w:val="16"/>
                <w:szCs w:val="16"/>
                <w:bdr w:val="none" w:color="auto" w:sz="0" w:space="0"/>
                <w:lang w:val="en-US" w:eastAsia="zh-CN" w:bidi="ar"/>
              </w:rPr>
              <w:t>专业领域</w:t>
            </w: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kern w:val="0"/>
                <w:sz w:val="16"/>
                <w:szCs w:val="16"/>
                <w:bdr w:val="none" w:color="auto" w:sz="0" w:space="0"/>
                <w:lang w:val="en-US" w:eastAsia="zh-CN" w:bidi="ar"/>
              </w:rPr>
              <w:t>联系老师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kern w:val="0"/>
                <w:sz w:val="16"/>
                <w:szCs w:val="16"/>
                <w:bdr w:val="none" w:color="auto" w:sz="0" w:space="0"/>
                <w:lang w:val="en-US" w:eastAsia="zh-CN" w:bidi="ar"/>
              </w:rPr>
              <w:t>联系电话</w:t>
            </w:r>
          </w:p>
        </w:tc>
      </w:tr>
      <w:tr>
        <w:tblPrEx>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ascii="仿宋" w:hAnsi="仿宋" w:eastAsia="仿宋" w:cs="仿宋"/>
                <w:kern w:val="0"/>
                <w:sz w:val="16"/>
                <w:szCs w:val="16"/>
                <w:bdr w:val="none" w:color="auto" w:sz="0" w:space="0"/>
                <w:lang w:val="en-US" w:eastAsia="zh-CN" w:bidi="ar"/>
              </w:rPr>
              <w:t>生物与环境工程学院</w:t>
            </w:r>
          </w:p>
        </w:tc>
        <w:tc>
          <w:tcPr>
            <w:tcW w:w="410" w:type="dxa"/>
            <w:vMerge w:val="restart"/>
            <w:tcBorders>
              <w:top w:val="single" w:color="000000" w:sz="4" w:space="0"/>
              <w:left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rFonts w:hint="default" w:ascii="Arial" w:hAnsi="Arial" w:cs="Arial"/>
                <w:color w:val="333333"/>
                <w:sz w:val="20"/>
                <w:szCs w:val="20"/>
              </w:rPr>
            </w:pPr>
            <w:r>
              <w:rPr>
                <w:rFonts w:hint="eastAsia" w:ascii="仿宋" w:hAnsi="仿宋" w:eastAsia="仿宋" w:cs="仿宋"/>
                <w:color w:val="333333"/>
                <w:sz w:val="16"/>
                <w:szCs w:val="16"/>
                <w:bdr w:val="none" w:color="auto" w:sz="0" w:space="0"/>
              </w:rPr>
              <w:t>0857</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rFonts w:hint="default" w:ascii="Arial" w:hAnsi="Arial" w:cs="Arial"/>
                <w:color w:val="333333"/>
                <w:sz w:val="20"/>
                <w:szCs w:val="20"/>
              </w:rPr>
            </w:pPr>
            <w:r>
              <w:rPr>
                <w:rFonts w:hint="eastAsia" w:ascii="仿宋" w:hAnsi="仿宋" w:eastAsia="仿宋" w:cs="仿宋"/>
                <w:color w:val="333333"/>
                <w:sz w:val="16"/>
                <w:szCs w:val="16"/>
                <w:bdr w:val="none" w:color="auto" w:sz="0" w:space="0"/>
              </w:rPr>
              <w:t>资源与环境</w:t>
            </w:r>
          </w:p>
        </w:tc>
        <w:tc>
          <w:tcPr>
            <w:tcW w:w="0" w:type="auto"/>
            <w:vMerge w:val="restart"/>
            <w:tcBorders>
              <w:top w:val="single" w:color="000000" w:sz="4" w:space="0"/>
              <w:left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085701</w:t>
            </w:r>
            <w:r>
              <w:rPr>
                <w:rFonts w:hint="eastAsia" w:ascii="仿宋" w:hAnsi="仿宋" w:eastAsia="仿宋" w:cs="仿宋"/>
                <w:kern w:val="0"/>
                <w:sz w:val="16"/>
                <w:szCs w:val="16"/>
                <w:bdr w:val="none" w:color="auto" w:sz="0" w:space="0"/>
                <w:lang w:val="en-US" w:eastAsia="zh-CN" w:bidi="ar"/>
              </w:rPr>
              <w:br w:type="textWrapping"/>
            </w:r>
            <w:r>
              <w:rPr>
                <w:rFonts w:hint="eastAsia" w:ascii="仿宋" w:hAnsi="仿宋" w:eastAsia="仿宋" w:cs="仿宋"/>
                <w:kern w:val="0"/>
                <w:sz w:val="16"/>
                <w:szCs w:val="16"/>
                <w:bdr w:val="none" w:color="auto" w:sz="0" w:space="0"/>
                <w:lang w:val="en-US" w:eastAsia="zh-CN" w:bidi="ar"/>
              </w:rPr>
              <w:t>环境工程</w:t>
            </w: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尚老师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13376493863</w:t>
            </w:r>
          </w:p>
        </w:tc>
      </w:tr>
      <w:tr>
        <w:tblPrEx>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黄河三角洲生态环境研究中心</w:t>
            </w:r>
          </w:p>
        </w:tc>
        <w:tc>
          <w:tcPr>
            <w:tcW w:w="410" w:type="dxa"/>
            <w:vMerge w:val="continue"/>
            <w:tcBorders>
              <w:top w:val="single" w:color="000000" w:sz="4" w:space="0"/>
              <w:left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赵老师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15954739152</w:t>
            </w:r>
          </w:p>
        </w:tc>
      </w:tr>
      <w:tr>
        <w:tblPrEx>
          <w:shd w:val="clear"/>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化工与安全学院</w:t>
            </w:r>
          </w:p>
        </w:tc>
        <w:tc>
          <w:tcPr>
            <w:tcW w:w="410" w:type="dxa"/>
            <w:vMerge w:val="continue"/>
            <w:tcBorders>
              <w:top w:val="single" w:color="000000" w:sz="4" w:space="0"/>
              <w:left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085702</w:t>
            </w:r>
            <w:r>
              <w:rPr>
                <w:rFonts w:hint="eastAsia" w:ascii="仿宋" w:hAnsi="仿宋" w:eastAsia="仿宋" w:cs="仿宋"/>
                <w:kern w:val="0"/>
                <w:sz w:val="16"/>
                <w:szCs w:val="16"/>
                <w:bdr w:val="none" w:color="auto" w:sz="0" w:space="0"/>
                <w:lang w:val="en-US" w:eastAsia="zh-CN" w:bidi="ar"/>
              </w:rPr>
              <w:br w:type="textWrapping"/>
            </w:r>
            <w:r>
              <w:rPr>
                <w:rFonts w:hint="eastAsia" w:ascii="仿宋" w:hAnsi="仿宋" w:eastAsia="仿宋" w:cs="仿宋"/>
                <w:kern w:val="0"/>
                <w:sz w:val="16"/>
                <w:szCs w:val="16"/>
                <w:bdr w:val="none" w:color="auto" w:sz="0" w:space="0"/>
                <w:lang w:val="en-US" w:eastAsia="zh-CN" w:bidi="ar"/>
              </w:rPr>
              <w:t>安全工程</w:t>
            </w: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张老师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18766499800</w:t>
            </w:r>
          </w:p>
        </w:tc>
      </w:tr>
      <w:tr>
        <w:tblPrEx>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飞行学院</w:t>
            </w:r>
          </w:p>
        </w:tc>
        <w:tc>
          <w:tcPr>
            <w:tcW w:w="41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rFonts w:hint="default" w:ascii="Arial" w:hAnsi="Arial" w:cs="Arial"/>
                <w:color w:val="333333"/>
                <w:sz w:val="20"/>
                <w:szCs w:val="20"/>
              </w:rPr>
            </w:pPr>
            <w:r>
              <w:rPr>
                <w:rFonts w:hint="eastAsia" w:ascii="仿宋" w:hAnsi="仿宋" w:eastAsia="仿宋" w:cs="仿宋"/>
                <w:color w:val="333333"/>
                <w:sz w:val="16"/>
                <w:szCs w:val="16"/>
                <w:bdr w:val="none" w:color="auto" w:sz="0" w:space="0"/>
              </w:rPr>
              <w:t>0861</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rFonts w:hint="default" w:ascii="Arial" w:hAnsi="Arial" w:cs="Arial"/>
                <w:color w:val="333333"/>
                <w:sz w:val="20"/>
                <w:szCs w:val="20"/>
              </w:rPr>
            </w:pPr>
            <w:r>
              <w:rPr>
                <w:rFonts w:hint="eastAsia" w:ascii="仿宋" w:hAnsi="仿宋" w:eastAsia="仿宋" w:cs="仿宋"/>
                <w:color w:val="333333"/>
                <w:sz w:val="16"/>
                <w:szCs w:val="16"/>
                <w:bdr w:val="none" w:color="auto" w:sz="0" w:space="0"/>
              </w:rPr>
              <w:t>交通运输</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086104</w:t>
            </w:r>
            <w:r>
              <w:rPr>
                <w:rFonts w:hint="eastAsia" w:ascii="仿宋" w:hAnsi="仿宋" w:eastAsia="仿宋" w:cs="仿宋"/>
                <w:kern w:val="0"/>
                <w:sz w:val="16"/>
                <w:szCs w:val="16"/>
                <w:bdr w:val="none" w:color="auto" w:sz="0" w:space="0"/>
                <w:lang w:val="en-US" w:eastAsia="zh-CN" w:bidi="ar"/>
              </w:rPr>
              <w:br w:type="textWrapping"/>
            </w:r>
            <w:r>
              <w:rPr>
                <w:rFonts w:hint="eastAsia" w:ascii="仿宋" w:hAnsi="仿宋" w:eastAsia="仿宋" w:cs="仿宋"/>
                <w:kern w:val="0"/>
                <w:sz w:val="16"/>
                <w:szCs w:val="16"/>
                <w:bdr w:val="none" w:color="auto" w:sz="0" w:space="0"/>
                <w:lang w:val="en-US" w:eastAsia="zh-CN" w:bidi="ar"/>
              </w:rPr>
              <w:t>航空交通运输</w:t>
            </w: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王老师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17854308525</w:t>
            </w:r>
          </w:p>
        </w:tc>
      </w:tr>
      <w:tr>
        <w:tblPrEx>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机电工程学院</w:t>
            </w:r>
          </w:p>
        </w:tc>
        <w:tc>
          <w:tcPr>
            <w:tcW w:w="4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赵老师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18854319311</w:t>
            </w:r>
          </w:p>
        </w:tc>
      </w:tr>
      <w:tr>
        <w:tblPrEx>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航空工程学院</w:t>
            </w:r>
          </w:p>
        </w:tc>
        <w:tc>
          <w:tcPr>
            <w:tcW w:w="4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郑老师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15154330692</w:t>
            </w:r>
          </w:p>
        </w:tc>
      </w:tr>
      <w:tr>
        <w:tblPrEx>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机场学院</w:t>
            </w:r>
          </w:p>
        </w:tc>
        <w:tc>
          <w:tcPr>
            <w:tcW w:w="4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杨老师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15376288779</w:t>
            </w:r>
          </w:p>
        </w:tc>
      </w:tr>
      <w:tr>
        <w:tblPrEx>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建筑工程学院</w:t>
            </w:r>
          </w:p>
        </w:tc>
        <w:tc>
          <w:tcPr>
            <w:tcW w:w="4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侯老师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kern w:val="0"/>
                <w:sz w:val="16"/>
                <w:szCs w:val="16"/>
                <w:bdr w:val="none" w:color="auto" w:sz="0" w:space="0"/>
                <w:lang w:val="en-US" w:eastAsia="zh-CN" w:bidi="ar"/>
              </w:rPr>
              <w:t>15666993066</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jc w:val="center"/>
        <w:rPr>
          <w:rFonts w:hint="default" w:ascii="Arial" w:hAnsi="Arial" w:cs="Arial"/>
          <w:color w:val="333333"/>
          <w:sz w:val="20"/>
          <w:szCs w:val="20"/>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270"/>
        <w:jc w:val="left"/>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                       </w:t>
      </w:r>
      <w:r>
        <w:rPr>
          <w:rFonts w:hint="default" w:ascii="仿宋_gb2312" w:hAnsi="仿宋_gb2312" w:eastAsia="仿宋_gb2312" w:cs="仿宋_gb2312"/>
          <w:i w:val="0"/>
          <w:caps w:val="0"/>
          <w:color w:val="333333"/>
          <w:spacing w:val="0"/>
          <w:kern w:val="0"/>
          <w:sz w:val="18"/>
          <w:szCs w:val="18"/>
          <w:bdr w:val="none" w:color="auto" w:sz="0" w:space="0"/>
          <w:shd w:val="clear" w:fill="FFFFFF"/>
          <w:lang w:val="en-US" w:eastAsia="zh-CN" w:bidi="ar"/>
        </w:rPr>
        <w:t> </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滨州学院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30"/>
        <w:jc w:val="left"/>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                                                        2023年4月1日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2F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2023-05-23T02:50:57Z</dcterms:created>
  <dc:creator>86188</dc:creator>
  <cp:lastModifiedBy>随风而动</cp:lastModifiedBy>
  <dcterms:modified xsi:type="dcterms:W3CDTF">2023-05-23T02:50:59Z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