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200" w:beforeAutospacing="0" w:after="200" w:afterAutospacing="0"/>
        <w:ind w:left="0" w:right="0"/>
        <w:rPr>
          <w:b/>
          <w:bCs/>
          <w:sz w:val="26"/>
          <w:szCs w:val="26"/>
        </w:rPr>
      </w:pPr>
      <w:bookmarkStart w:id="0" w:name="_GoBack"/>
      <w:r>
        <w:rPr>
          <w:b/>
          <w:bCs/>
          <w:sz w:val="26"/>
          <w:szCs w:val="26"/>
          <w:bdr w:val="none" w:color="auto" w:sz="0" w:space="0"/>
        </w:rPr>
        <w:t>火箭军工程大学2023年硕士研究生调剂公告</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0" w:lineRule="atLeast"/>
        <w:ind w:left="0" w:right="0" w:firstLine="470"/>
        <w:rPr>
          <w:color w:val="666666"/>
          <w:sz w:val="16"/>
          <w:szCs w:val="16"/>
        </w:rPr>
      </w:pPr>
      <w:r>
        <w:rPr>
          <w:rFonts w:ascii="仿宋" w:hAnsi="仿宋" w:eastAsia="仿宋" w:cs="仿宋"/>
          <w:color w:val="666666"/>
          <w:spacing w:val="20"/>
          <w:sz w:val="20"/>
          <w:szCs w:val="20"/>
          <w:bdr w:val="none" w:color="auto" w:sz="0" w:space="0"/>
        </w:rPr>
        <w:t>根据</w:t>
      </w:r>
      <w:r>
        <w:rPr>
          <w:rFonts w:hint="eastAsia" w:ascii="仿宋" w:hAnsi="仿宋" w:eastAsia="仿宋" w:cs="仿宋"/>
          <w:color w:val="666666"/>
          <w:spacing w:val="20"/>
          <w:sz w:val="20"/>
          <w:szCs w:val="20"/>
          <w:bdr w:val="none" w:color="auto" w:sz="0" w:space="0"/>
        </w:rPr>
        <w:t>2023年全国硕士研究生招生考试进入复试的初试成绩基本要求和报考我校第一志愿考生的初试情况，我校部分学科尚有缺额，欢迎广大考生踊跃报考。</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50" w:lineRule="atLeast"/>
        <w:ind w:left="0" w:right="0" w:firstLine="400"/>
        <w:rPr>
          <w:color w:val="666666"/>
          <w:sz w:val="16"/>
          <w:szCs w:val="16"/>
        </w:rPr>
      </w:pPr>
      <w:r>
        <w:rPr>
          <w:rFonts w:ascii="黑体" w:hAnsi="宋体" w:eastAsia="黑体" w:cs="黑体"/>
          <w:color w:val="666666"/>
          <w:sz w:val="20"/>
          <w:szCs w:val="20"/>
          <w:bdr w:val="none" w:color="auto" w:sz="0" w:space="0"/>
        </w:rPr>
        <w:t>一</w:t>
      </w:r>
      <w:r>
        <w:rPr>
          <w:rFonts w:hint="eastAsia" w:ascii="黑体" w:hAnsi="宋体" w:eastAsia="黑体" w:cs="黑体"/>
          <w:color w:val="666666"/>
          <w:sz w:val="20"/>
          <w:szCs w:val="20"/>
          <w:bdr w:val="none" w:color="auto" w:sz="0" w:space="0"/>
        </w:rPr>
        <w:t>、接收调剂学科</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50" w:lineRule="atLeast"/>
        <w:ind w:left="0" w:right="0" w:firstLine="400"/>
        <w:rPr>
          <w:color w:val="666666"/>
          <w:sz w:val="16"/>
          <w:szCs w:val="16"/>
        </w:rPr>
      </w:pPr>
      <w:r>
        <w:rPr>
          <w:rFonts w:hint="eastAsia" w:ascii="黑体" w:hAnsi="宋体" w:eastAsia="黑体" w:cs="黑体"/>
          <w:color w:val="666666"/>
          <w:sz w:val="20"/>
          <w:szCs w:val="20"/>
          <w:bdr w:val="none" w:color="auto" w:sz="0" w:space="0"/>
        </w:rPr>
        <w:t> </w:t>
      </w:r>
    </w:p>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785"/>
        <w:gridCol w:w="960"/>
        <w:gridCol w:w="1850"/>
        <w:gridCol w:w="111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30" w:hRule="atLeast"/>
          <w:tblCellSpacing w:w="15" w:type="dxa"/>
        </w:trPr>
        <w:tc>
          <w:tcPr>
            <w:tcW w:w="740" w:type="dxa"/>
            <w:tcBorders>
              <w:top w:val="nil"/>
              <w:left w:val="nil"/>
              <w:bottom w:val="nil"/>
              <w:right w:val="nil"/>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rPr>
                <w:color w:val="666666"/>
                <w:sz w:val="16"/>
                <w:szCs w:val="16"/>
              </w:rPr>
            </w:pPr>
            <w:r>
              <w:rPr>
                <w:rStyle w:val="6"/>
                <w:rFonts w:hint="eastAsia" w:ascii="宋体" w:hAnsi="宋体" w:eastAsia="宋体" w:cs="宋体"/>
                <w:color w:val="666666"/>
                <w:sz w:val="14"/>
                <w:szCs w:val="14"/>
                <w:bdr w:val="none" w:color="auto" w:sz="0" w:space="0"/>
              </w:rPr>
              <w:t>学位类别</w:t>
            </w:r>
          </w:p>
        </w:tc>
        <w:tc>
          <w:tcPr>
            <w:tcW w:w="930" w:type="dxa"/>
            <w:tcBorders>
              <w:top w:val="nil"/>
              <w:left w:val="nil"/>
              <w:bottom w:val="nil"/>
              <w:right w:val="nil"/>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rPr>
                <w:color w:val="666666"/>
                <w:sz w:val="16"/>
                <w:szCs w:val="16"/>
              </w:rPr>
            </w:pPr>
            <w:r>
              <w:rPr>
                <w:rStyle w:val="6"/>
                <w:rFonts w:hint="eastAsia" w:ascii="宋体" w:hAnsi="宋体" w:eastAsia="宋体" w:cs="宋体"/>
                <w:color w:val="666666"/>
                <w:sz w:val="14"/>
                <w:szCs w:val="14"/>
                <w:bdr w:val="none" w:color="auto" w:sz="0" w:space="0"/>
              </w:rPr>
              <w:t>学科代码</w:t>
            </w:r>
          </w:p>
        </w:tc>
        <w:tc>
          <w:tcPr>
            <w:tcW w:w="1820" w:type="dxa"/>
            <w:tcBorders>
              <w:top w:val="nil"/>
              <w:left w:val="nil"/>
              <w:bottom w:val="nil"/>
              <w:right w:val="nil"/>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rPr>
                <w:color w:val="666666"/>
                <w:sz w:val="16"/>
                <w:szCs w:val="16"/>
              </w:rPr>
            </w:pPr>
            <w:r>
              <w:rPr>
                <w:rStyle w:val="6"/>
                <w:rFonts w:hint="eastAsia" w:ascii="宋体" w:hAnsi="宋体" w:eastAsia="宋体" w:cs="宋体"/>
                <w:color w:val="666666"/>
                <w:sz w:val="14"/>
                <w:szCs w:val="14"/>
                <w:bdr w:val="none" w:color="auto" w:sz="0" w:space="0"/>
              </w:rPr>
              <w:t>学科（专业领域）名称</w:t>
            </w:r>
          </w:p>
        </w:tc>
        <w:tc>
          <w:tcPr>
            <w:tcW w:w="1070" w:type="dxa"/>
            <w:tcBorders>
              <w:top w:val="nil"/>
              <w:left w:val="nil"/>
              <w:bottom w:val="nil"/>
              <w:right w:val="nil"/>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rPr>
                <w:color w:val="666666"/>
                <w:sz w:val="16"/>
                <w:szCs w:val="16"/>
              </w:rPr>
            </w:pPr>
            <w:r>
              <w:rPr>
                <w:rStyle w:val="6"/>
                <w:rFonts w:hint="eastAsia" w:ascii="宋体" w:hAnsi="宋体" w:eastAsia="宋体" w:cs="宋体"/>
                <w:color w:val="666666"/>
                <w:sz w:val="14"/>
                <w:szCs w:val="14"/>
                <w:bdr w:val="none" w:color="auto" w:sz="0" w:space="0"/>
              </w:rPr>
              <w:t>学习方式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80" w:hRule="atLeast"/>
          <w:tblCellSpacing w:w="15" w:type="dxa"/>
        </w:trPr>
        <w:tc>
          <w:tcPr>
            <w:tcW w:w="740" w:type="dxa"/>
            <w:vMerge w:val="restart"/>
            <w:tcBorders>
              <w:top w:val="nil"/>
              <w:left w:val="nil"/>
              <w:bottom w:val="nil"/>
              <w:right w:val="nil"/>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rPr>
                <w:color w:val="666666"/>
                <w:sz w:val="16"/>
                <w:szCs w:val="16"/>
              </w:rPr>
            </w:pPr>
            <w:r>
              <w:rPr>
                <w:rFonts w:hint="eastAsia" w:ascii="宋体" w:hAnsi="宋体" w:eastAsia="宋体" w:cs="宋体"/>
                <w:color w:val="666666"/>
                <w:sz w:val="14"/>
                <w:szCs w:val="14"/>
                <w:bdr w:val="none" w:color="auto" w:sz="0" w:space="0"/>
              </w:rPr>
              <w:t>学术学位</w:t>
            </w:r>
          </w:p>
        </w:tc>
        <w:tc>
          <w:tcPr>
            <w:tcW w:w="930" w:type="dxa"/>
            <w:tcBorders>
              <w:top w:val="nil"/>
              <w:left w:val="nil"/>
              <w:bottom w:val="nil"/>
              <w:right w:val="nil"/>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rPr>
                <w:color w:val="666666"/>
                <w:sz w:val="16"/>
                <w:szCs w:val="16"/>
              </w:rPr>
            </w:pPr>
            <w:r>
              <w:rPr>
                <w:rFonts w:hint="eastAsia" w:ascii="宋体" w:hAnsi="宋体" w:eastAsia="宋体" w:cs="宋体"/>
                <w:color w:val="666666"/>
                <w:sz w:val="14"/>
                <w:szCs w:val="14"/>
                <w:bdr w:val="none" w:color="auto" w:sz="0" w:space="0"/>
              </w:rPr>
              <w:t>081100</w:t>
            </w:r>
          </w:p>
        </w:tc>
        <w:tc>
          <w:tcPr>
            <w:tcW w:w="1820" w:type="dxa"/>
            <w:tcBorders>
              <w:top w:val="nil"/>
              <w:left w:val="nil"/>
              <w:bottom w:val="nil"/>
              <w:right w:val="nil"/>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rPr>
                <w:color w:val="666666"/>
                <w:sz w:val="16"/>
                <w:szCs w:val="16"/>
              </w:rPr>
            </w:pPr>
            <w:r>
              <w:rPr>
                <w:rFonts w:hint="eastAsia" w:ascii="宋体" w:hAnsi="宋体" w:eastAsia="宋体" w:cs="宋体"/>
                <w:color w:val="666666"/>
                <w:sz w:val="14"/>
                <w:szCs w:val="14"/>
                <w:bdr w:val="none" w:color="auto" w:sz="0" w:space="0"/>
              </w:rPr>
              <w:t>控制科学与工程</w:t>
            </w:r>
          </w:p>
        </w:tc>
        <w:tc>
          <w:tcPr>
            <w:tcW w:w="1070" w:type="dxa"/>
            <w:tcBorders>
              <w:top w:val="nil"/>
              <w:left w:val="nil"/>
              <w:bottom w:val="nil"/>
              <w:right w:val="nil"/>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rPr>
                <w:color w:val="666666"/>
                <w:sz w:val="16"/>
                <w:szCs w:val="16"/>
              </w:rPr>
            </w:pPr>
            <w:r>
              <w:rPr>
                <w:rFonts w:hint="eastAsia" w:ascii="宋体" w:hAnsi="宋体" w:eastAsia="宋体" w:cs="宋体"/>
                <w:color w:val="666666"/>
                <w:sz w:val="14"/>
                <w:szCs w:val="14"/>
                <w:bdr w:val="none" w:color="auto" w:sz="0" w:space="0"/>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80" w:hRule="atLeast"/>
          <w:tblCellSpacing w:w="15" w:type="dxa"/>
        </w:trPr>
        <w:tc>
          <w:tcPr>
            <w:tcW w:w="740" w:type="dxa"/>
            <w:vMerge w:val="continue"/>
            <w:tcBorders>
              <w:top w:val="nil"/>
              <w:left w:val="nil"/>
              <w:bottom w:val="nil"/>
              <w:right w:val="nil"/>
            </w:tcBorders>
            <w:shd w:val="clear"/>
            <w:tcMar>
              <w:top w:w="0" w:type="dxa"/>
              <w:left w:w="70" w:type="dxa"/>
              <w:bottom w:w="0" w:type="dxa"/>
              <w:right w:w="70" w:type="dxa"/>
            </w:tcMar>
            <w:vAlign w:val="center"/>
          </w:tcPr>
          <w:p>
            <w:pPr>
              <w:rPr>
                <w:rFonts w:hint="eastAsia" w:ascii="宋体"/>
                <w:sz w:val="24"/>
                <w:szCs w:val="24"/>
              </w:rPr>
            </w:pPr>
          </w:p>
        </w:tc>
        <w:tc>
          <w:tcPr>
            <w:tcW w:w="930" w:type="dxa"/>
            <w:tcBorders>
              <w:top w:val="nil"/>
              <w:left w:val="nil"/>
              <w:bottom w:val="nil"/>
              <w:right w:val="nil"/>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rPr>
                <w:color w:val="666666"/>
                <w:sz w:val="16"/>
                <w:szCs w:val="16"/>
              </w:rPr>
            </w:pPr>
            <w:r>
              <w:rPr>
                <w:rFonts w:hint="eastAsia" w:ascii="宋体" w:hAnsi="宋体" w:eastAsia="宋体" w:cs="宋体"/>
                <w:color w:val="666666"/>
                <w:sz w:val="14"/>
                <w:szCs w:val="14"/>
                <w:bdr w:val="none" w:color="auto" w:sz="0" w:space="0"/>
              </w:rPr>
              <w:t>082500</w:t>
            </w:r>
          </w:p>
        </w:tc>
        <w:tc>
          <w:tcPr>
            <w:tcW w:w="1820" w:type="dxa"/>
            <w:tcBorders>
              <w:top w:val="nil"/>
              <w:left w:val="nil"/>
              <w:bottom w:val="nil"/>
              <w:right w:val="nil"/>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rPr>
                <w:color w:val="666666"/>
                <w:sz w:val="16"/>
                <w:szCs w:val="16"/>
              </w:rPr>
            </w:pPr>
            <w:r>
              <w:rPr>
                <w:rFonts w:hint="eastAsia" w:ascii="宋体" w:hAnsi="宋体" w:eastAsia="宋体" w:cs="宋体"/>
                <w:color w:val="666666"/>
                <w:sz w:val="14"/>
                <w:szCs w:val="14"/>
                <w:bdr w:val="none" w:color="auto" w:sz="0" w:space="0"/>
              </w:rPr>
              <w:t>航空宇航科学与技术</w:t>
            </w:r>
          </w:p>
        </w:tc>
        <w:tc>
          <w:tcPr>
            <w:tcW w:w="1070" w:type="dxa"/>
            <w:tcBorders>
              <w:top w:val="nil"/>
              <w:left w:val="nil"/>
              <w:bottom w:val="nil"/>
              <w:right w:val="nil"/>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rPr>
                <w:color w:val="666666"/>
                <w:sz w:val="16"/>
                <w:szCs w:val="16"/>
              </w:rPr>
            </w:pPr>
            <w:r>
              <w:rPr>
                <w:rFonts w:hint="eastAsia" w:ascii="宋体" w:hAnsi="宋体" w:eastAsia="宋体" w:cs="宋体"/>
                <w:color w:val="666666"/>
                <w:sz w:val="14"/>
                <w:szCs w:val="14"/>
                <w:bdr w:val="none" w:color="auto" w:sz="0" w:space="0"/>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80" w:hRule="atLeast"/>
          <w:tblCellSpacing w:w="15" w:type="dxa"/>
        </w:trPr>
        <w:tc>
          <w:tcPr>
            <w:tcW w:w="740" w:type="dxa"/>
            <w:vMerge w:val="continue"/>
            <w:tcBorders>
              <w:top w:val="nil"/>
              <w:left w:val="nil"/>
              <w:bottom w:val="nil"/>
              <w:right w:val="nil"/>
            </w:tcBorders>
            <w:shd w:val="clear"/>
            <w:tcMar>
              <w:top w:w="0" w:type="dxa"/>
              <w:left w:w="70" w:type="dxa"/>
              <w:bottom w:w="0" w:type="dxa"/>
              <w:right w:w="70" w:type="dxa"/>
            </w:tcMar>
            <w:vAlign w:val="center"/>
          </w:tcPr>
          <w:p>
            <w:pPr>
              <w:rPr>
                <w:rFonts w:hint="eastAsia" w:ascii="宋体"/>
                <w:sz w:val="24"/>
                <w:szCs w:val="24"/>
              </w:rPr>
            </w:pPr>
          </w:p>
        </w:tc>
        <w:tc>
          <w:tcPr>
            <w:tcW w:w="930" w:type="dxa"/>
            <w:tcBorders>
              <w:top w:val="nil"/>
              <w:left w:val="nil"/>
              <w:bottom w:val="nil"/>
              <w:right w:val="nil"/>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rPr>
                <w:color w:val="666666"/>
                <w:sz w:val="16"/>
                <w:szCs w:val="16"/>
              </w:rPr>
            </w:pPr>
            <w:r>
              <w:rPr>
                <w:rFonts w:hint="eastAsia" w:ascii="宋体" w:hAnsi="宋体" w:eastAsia="宋体" w:cs="宋体"/>
                <w:color w:val="666666"/>
                <w:sz w:val="14"/>
                <w:szCs w:val="14"/>
                <w:bdr w:val="none" w:color="auto" w:sz="0" w:space="0"/>
              </w:rPr>
              <w:t>082600</w:t>
            </w:r>
          </w:p>
        </w:tc>
        <w:tc>
          <w:tcPr>
            <w:tcW w:w="1820" w:type="dxa"/>
            <w:tcBorders>
              <w:top w:val="nil"/>
              <w:left w:val="nil"/>
              <w:bottom w:val="nil"/>
              <w:right w:val="nil"/>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rPr>
                <w:color w:val="666666"/>
                <w:sz w:val="16"/>
                <w:szCs w:val="16"/>
              </w:rPr>
            </w:pPr>
            <w:r>
              <w:rPr>
                <w:rFonts w:hint="eastAsia" w:ascii="宋体" w:hAnsi="宋体" w:eastAsia="宋体" w:cs="宋体"/>
                <w:color w:val="666666"/>
                <w:sz w:val="14"/>
                <w:szCs w:val="14"/>
                <w:bdr w:val="none" w:color="auto" w:sz="0" w:space="0"/>
              </w:rPr>
              <w:t>兵器科学与技术</w:t>
            </w:r>
          </w:p>
        </w:tc>
        <w:tc>
          <w:tcPr>
            <w:tcW w:w="1070" w:type="dxa"/>
            <w:tcBorders>
              <w:top w:val="nil"/>
              <w:left w:val="nil"/>
              <w:bottom w:val="nil"/>
              <w:right w:val="nil"/>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rPr>
                <w:color w:val="666666"/>
                <w:sz w:val="16"/>
                <w:szCs w:val="16"/>
              </w:rPr>
            </w:pPr>
            <w:r>
              <w:rPr>
                <w:rFonts w:hint="eastAsia" w:ascii="宋体" w:hAnsi="宋体" w:eastAsia="宋体" w:cs="宋体"/>
                <w:color w:val="666666"/>
                <w:sz w:val="14"/>
                <w:szCs w:val="14"/>
                <w:bdr w:val="none" w:color="auto" w:sz="0" w:space="0"/>
              </w:rPr>
              <w:t>全日制</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0" w:lineRule="atLeast"/>
        <w:ind w:left="0" w:right="0" w:firstLine="400"/>
        <w:rPr>
          <w:color w:val="666666"/>
          <w:sz w:val="16"/>
          <w:szCs w:val="16"/>
        </w:rPr>
      </w:pPr>
      <w:r>
        <w:rPr>
          <w:rFonts w:hint="eastAsia" w:ascii="黑体" w:hAnsi="宋体" w:eastAsia="黑体" w:cs="黑体"/>
          <w:color w:val="666666"/>
          <w:sz w:val="20"/>
          <w:szCs w:val="20"/>
          <w:bdr w:val="none" w:color="auto" w:sz="0" w:space="0"/>
        </w:rPr>
        <w:t>二、调剂要求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0" w:lineRule="atLeast"/>
        <w:ind w:left="0" w:right="0" w:firstLine="400"/>
        <w:jc w:val="both"/>
        <w:rPr>
          <w:color w:val="666666"/>
          <w:sz w:val="16"/>
          <w:szCs w:val="16"/>
        </w:rPr>
      </w:pPr>
      <w:r>
        <w:rPr>
          <w:rFonts w:hint="eastAsia" w:ascii="仿宋" w:hAnsi="仿宋" w:eastAsia="仿宋" w:cs="仿宋"/>
          <w:color w:val="666666"/>
          <w:sz w:val="20"/>
          <w:szCs w:val="20"/>
          <w:bdr w:val="none" w:color="auto" w:sz="0" w:space="0"/>
        </w:rPr>
        <w:t>1.考生第一志愿报考学习方式为全日制，初试成绩达到2023年全国硕士研究生招生考试考生进入复试的初试成绩基本要求（A类），且符合调入专业的报考条件。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0" w:lineRule="atLeast"/>
        <w:ind w:left="0" w:right="0" w:firstLine="400"/>
        <w:jc w:val="both"/>
        <w:rPr>
          <w:color w:val="666666"/>
          <w:sz w:val="16"/>
          <w:szCs w:val="16"/>
        </w:rPr>
      </w:pPr>
      <w:r>
        <w:rPr>
          <w:rFonts w:hint="eastAsia" w:ascii="仿宋" w:hAnsi="仿宋" w:eastAsia="仿宋" w:cs="仿宋"/>
          <w:color w:val="666666"/>
          <w:sz w:val="20"/>
          <w:szCs w:val="20"/>
          <w:bdr w:val="none" w:color="auto" w:sz="0" w:space="0"/>
        </w:rPr>
        <w:t>2.申请调入专业与第一志愿报考专业相同或相近，且在同一学科门类范围内。</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0" w:lineRule="atLeast"/>
        <w:ind w:left="0" w:right="0" w:firstLine="400"/>
        <w:jc w:val="both"/>
        <w:rPr>
          <w:color w:val="666666"/>
          <w:sz w:val="16"/>
          <w:szCs w:val="16"/>
        </w:rPr>
      </w:pPr>
      <w:r>
        <w:rPr>
          <w:rFonts w:hint="eastAsia" w:ascii="仿宋" w:hAnsi="仿宋" w:eastAsia="仿宋" w:cs="仿宋"/>
          <w:color w:val="666666"/>
          <w:sz w:val="20"/>
          <w:szCs w:val="20"/>
          <w:bdr w:val="none" w:color="auto" w:sz="0" w:space="0"/>
        </w:rPr>
        <w:t>3.初试科目与申请调入专业初试科目相同或相近，其中统考科目应相同。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0" w:lineRule="atLeast"/>
        <w:ind w:left="0" w:right="0" w:firstLine="400"/>
        <w:jc w:val="both"/>
        <w:rPr>
          <w:color w:val="666666"/>
          <w:sz w:val="16"/>
          <w:szCs w:val="16"/>
        </w:rPr>
      </w:pPr>
      <w:r>
        <w:rPr>
          <w:rFonts w:hint="eastAsia" w:ascii="仿宋" w:hAnsi="仿宋" w:eastAsia="仿宋" w:cs="仿宋"/>
          <w:color w:val="666666"/>
          <w:sz w:val="20"/>
          <w:szCs w:val="20"/>
          <w:bdr w:val="none" w:color="auto" w:sz="0" w:space="0"/>
        </w:rPr>
        <w:t>4.各调剂专业只接收全日制本科及以上学历考生调剂,第一志愿报考军队院校的考生优先。</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0" w:lineRule="atLeast"/>
        <w:ind w:left="0" w:right="0" w:firstLine="400"/>
        <w:jc w:val="both"/>
        <w:rPr>
          <w:color w:val="666666"/>
          <w:sz w:val="16"/>
          <w:szCs w:val="16"/>
        </w:rPr>
      </w:pPr>
      <w:r>
        <w:rPr>
          <w:rFonts w:hint="eastAsia" w:ascii="仿宋" w:hAnsi="仿宋" w:eastAsia="仿宋" w:cs="仿宋"/>
          <w:color w:val="666666"/>
          <w:sz w:val="20"/>
          <w:szCs w:val="20"/>
          <w:bdr w:val="none" w:color="auto" w:sz="0" w:space="0"/>
        </w:rPr>
        <w:t>5.符合教育部规定的其他调剂政策和我校2023年硕士研究生招生简章中规定的其他报考条件。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0" w:lineRule="atLeast"/>
        <w:ind w:left="0" w:right="0" w:firstLine="400"/>
        <w:jc w:val="both"/>
        <w:rPr>
          <w:color w:val="666666"/>
          <w:sz w:val="16"/>
          <w:szCs w:val="16"/>
        </w:rPr>
      </w:pPr>
      <w:r>
        <w:rPr>
          <w:rFonts w:hint="eastAsia" w:ascii="仿宋" w:hAnsi="仿宋" w:eastAsia="仿宋" w:cs="仿宋"/>
          <w:color w:val="666666"/>
          <w:sz w:val="20"/>
          <w:szCs w:val="20"/>
          <w:bdr w:val="none" w:color="auto" w:sz="0" w:space="0"/>
        </w:rPr>
        <w:t>控制科学与工程学科要求初试成绩政治≥50分、数学≥65分、总分≥300分，且初试考试“业务课二”科目限电子技术基础、自动控制原理、计算机专业基础和电路等科目;</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0" w:lineRule="atLeast"/>
        <w:ind w:left="0" w:right="0" w:firstLine="400"/>
        <w:jc w:val="both"/>
        <w:rPr>
          <w:color w:val="666666"/>
          <w:sz w:val="16"/>
          <w:szCs w:val="16"/>
        </w:rPr>
      </w:pPr>
      <w:r>
        <w:rPr>
          <w:rFonts w:hint="eastAsia" w:ascii="仿宋" w:hAnsi="仿宋" w:eastAsia="仿宋" w:cs="仿宋"/>
          <w:color w:val="666666"/>
          <w:sz w:val="20"/>
          <w:szCs w:val="20"/>
          <w:bdr w:val="none" w:color="auto" w:sz="0" w:space="0"/>
        </w:rPr>
        <w:t>航空宇航科学与技术学科要求初试成绩政治≥50分、数学≥65分、总分≥300分;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0" w:lineRule="atLeast"/>
        <w:ind w:left="0" w:right="0" w:firstLine="400"/>
        <w:jc w:val="both"/>
        <w:rPr>
          <w:color w:val="666666"/>
          <w:sz w:val="16"/>
          <w:szCs w:val="16"/>
        </w:rPr>
      </w:pPr>
      <w:r>
        <w:rPr>
          <w:rFonts w:hint="eastAsia" w:ascii="仿宋" w:hAnsi="仿宋" w:eastAsia="仿宋" w:cs="仿宋"/>
          <w:color w:val="666666"/>
          <w:sz w:val="20"/>
          <w:szCs w:val="20"/>
          <w:bdr w:val="none" w:color="auto" w:sz="0" w:space="0"/>
        </w:rPr>
        <w:t>兵器科学与技术学科要求初试成绩政治≥50分、数学≥65分、总分≥300分。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0" w:lineRule="atLeast"/>
        <w:ind w:left="0" w:right="0" w:firstLine="400"/>
        <w:rPr>
          <w:color w:val="666666"/>
          <w:sz w:val="16"/>
          <w:szCs w:val="16"/>
        </w:rPr>
      </w:pPr>
      <w:r>
        <w:rPr>
          <w:rFonts w:hint="eastAsia" w:ascii="仿宋" w:hAnsi="仿宋" w:eastAsia="仿宋" w:cs="仿宋"/>
          <w:color w:val="666666"/>
          <w:sz w:val="20"/>
          <w:szCs w:val="20"/>
          <w:bdr w:val="none" w:color="auto" w:sz="0" w:space="0"/>
        </w:rPr>
        <w:t>6.我校为军队院校，无军籍地方研究生实行准军事化管理、不参军入伍，调剂考生应充分了解相关政策制度和管理要求，谨慎填报。</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0" w:lineRule="atLeast"/>
        <w:ind w:left="0" w:right="0" w:firstLine="400"/>
        <w:rPr>
          <w:color w:val="666666"/>
          <w:sz w:val="16"/>
          <w:szCs w:val="16"/>
        </w:rPr>
      </w:pPr>
      <w:r>
        <w:rPr>
          <w:rFonts w:hint="eastAsia" w:ascii="仿宋" w:hAnsi="仿宋" w:eastAsia="仿宋" w:cs="仿宋"/>
          <w:color w:val="666666"/>
          <w:sz w:val="20"/>
          <w:szCs w:val="20"/>
          <w:bdr w:val="none" w:color="auto" w:sz="0" w:space="0"/>
        </w:rPr>
        <w:t>7.考生须通过政治审查，无传染性疾病，身体健康状况符合国家和我校相关要求（乙型肝炎表面抗原检测阳性，艾滋病病毒抗体检测阳性，血清梅毒螺旋体抗体检测阳性等，不合格）</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0" w:lineRule="atLeast"/>
        <w:ind w:left="0" w:right="0" w:firstLine="400"/>
        <w:rPr>
          <w:color w:val="666666"/>
          <w:sz w:val="16"/>
          <w:szCs w:val="16"/>
        </w:rPr>
      </w:pPr>
      <w:r>
        <w:rPr>
          <w:rFonts w:hint="eastAsia" w:ascii="黑体" w:hAnsi="宋体" w:eastAsia="黑体" w:cs="黑体"/>
          <w:color w:val="666666"/>
          <w:sz w:val="20"/>
          <w:szCs w:val="20"/>
          <w:bdr w:val="none" w:color="auto" w:sz="0" w:space="0"/>
        </w:rPr>
        <w:t>三、调剂流程</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0" w:lineRule="atLeast"/>
        <w:ind w:left="0" w:right="0" w:firstLine="400"/>
        <w:jc w:val="both"/>
        <w:rPr>
          <w:color w:val="666666"/>
          <w:sz w:val="16"/>
          <w:szCs w:val="16"/>
        </w:rPr>
      </w:pPr>
      <w:r>
        <w:rPr>
          <w:rFonts w:hint="eastAsia" w:ascii="仿宋" w:hAnsi="仿宋" w:eastAsia="仿宋" w:cs="仿宋"/>
          <w:color w:val="666666"/>
          <w:sz w:val="20"/>
          <w:szCs w:val="20"/>
          <w:bdr w:val="none" w:color="auto" w:sz="0" w:space="0"/>
        </w:rPr>
        <w:t>我校接收调剂报名以考生在研招网“全国硕士生调剂服务系统”（https://yz.chsi.com.cn/yztj，以下简称“调剂服务系统”）正式提交的调剂信息为准。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0" w:lineRule="atLeast"/>
        <w:ind w:left="0" w:right="0" w:firstLine="400"/>
        <w:jc w:val="both"/>
        <w:rPr>
          <w:color w:val="666666"/>
          <w:sz w:val="16"/>
          <w:szCs w:val="16"/>
        </w:rPr>
      </w:pPr>
      <w:r>
        <w:rPr>
          <w:rFonts w:hint="eastAsia" w:ascii="仿宋" w:hAnsi="仿宋" w:eastAsia="仿宋" w:cs="仿宋"/>
          <w:color w:val="666666"/>
          <w:sz w:val="20"/>
          <w:szCs w:val="20"/>
          <w:bdr w:val="none" w:color="auto" w:sz="0" w:space="0"/>
        </w:rPr>
        <w:t>1.4月6日12:00，学校通过中国研究生招生信息网“调剂服务系统”发布各学科生源缺额信息。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0" w:lineRule="atLeast"/>
        <w:ind w:left="0" w:right="0" w:firstLine="400"/>
        <w:jc w:val="both"/>
        <w:rPr>
          <w:color w:val="666666"/>
          <w:sz w:val="16"/>
          <w:szCs w:val="16"/>
        </w:rPr>
      </w:pPr>
      <w:r>
        <w:rPr>
          <w:rFonts w:hint="eastAsia" w:ascii="仿宋" w:hAnsi="仿宋" w:eastAsia="仿宋" w:cs="仿宋"/>
          <w:color w:val="666666"/>
          <w:sz w:val="20"/>
          <w:szCs w:val="20"/>
          <w:bdr w:val="none" w:color="auto" w:sz="0" w:space="0"/>
        </w:rPr>
        <w:t>2.接收调剂网上报名时间为4月6日12:00至4月7日00:00，符合调剂条件的考生须登录“调剂服务系统”填报调剂志愿，调剂考生只能填报我校一个专业，不能同时填报多个。</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0" w:lineRule="atLeast"/>
        <w:ind w:left="0" w:right="0" w:firstLine="400"/>
        <w:jc w:val="both"/>
        <w:rPr>
          <w:color w:val="666666"/>
          <w:sz w:val="16"/>
          <w:szCs w:val="16"/>
        </w:rPr>
      </w:pPr>
      <w:r>
        <w:rPr>
          <w:rFonts w:hint="eastAsia" w:ascii="仿宋" w:hAnsi="仿宋" w:eastAsia="仿宋" w:cs="仿宋"/>
          <w:color w:val="666666"/>
          <w:sz w:val="20"/>
          <w:szCs w:val="20"/>
          <w:bdr w:val="none" w:color="auto" w:sz="0" w:space="0"/>
        </w:rPr>
        <w:t>3.学校审查调剂考生资格，并通过“调剂服务系统”向符合条件的考生发送复试通知。考生应于12小时内在网上确认同意接受我校复试（否则作自动放弃处理），并按我校规定的时间地点参加复试。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70" w:lineRule="atLeast"/>
        <w:ind w:left="0" w:right="0" w:firstLine="400"/>
        <w:rPr>
          <w:color w:val="666666"/>
          <w:sz w:val="16"/>
          <w:szCs w:val="16"/>
        </w:rPr>
      </w:pPr>
      <w:r>
        <w:rPr>
          <w:rFonts w:hint="eastAsia" w:ascii="黑体" w:hAnsi="宋体" w:eastAsia="黑体" w:cs="黑体"/>
          <w:color w:val="666666"/>
          <w:sz w:val="20"/>
          <w:szCs w:val="20"/>
          <w:bdr w:val="none" w:color="auto" w:sz="0" w:space="0"/>
        </w:rPr>
        <w:t>四、参加复试需提供材料</w:t>
      </w:r>
    </w:p>
    <w:tbl>
      <w:tblPr>
        <w:tblW w:w="5800" w:type="dxa"/>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479"/>
        <w:gridCol w:w="2558"/>
        <w:gridCol w:w="828"/>
        <w:gridCol w:w="746"/>
        <w:gridCol w:w="118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80" w:hRule="atLeast"/>
          <w:tblCellSpacing w:w="15" w:type="dxa"/>
        </w:trPr>
        <w:tc>
          <w:tcPr>
            <w:tcW w:w="450" w:type="dxa"/>
            <w:tcBorders>
              <w:top w:val="nil"/>
              <w:left w:val="nil"/>
              <w:bottom w:val="nil"/>
              <w:right w:val="nil"/>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rPr>
                <w:color w:val="666666"/>
                <w:sz w:val="16"/>
                <w:szCs w:val="16"/>
              </w:rPr>
            </w:pPr>
            <w:r>
              <w:rPr>
                <w:rFonts w:hint="eastAsia" w:ascii="宋体" w:hAnsi="宋体" w:eastAsia="宋体" w:cs="宋体"/>
                <w:color w:val="666666"/>
                <w:sz w:val="14"/>
                <w:szCs w:val="14"/>
                <w:bdr w:val="none" w:color="auto" w:sz="0" w:space="0"/>
              </w:rPr>
              <w:t>序号</w:t>
            </w:r>
          </w:p>
        </w:tc>
        <w:tc>
          <w:tcPr>
            <w:tcW w:w="2740" w:type="dxa"/>
            <w:tcBorders>
              <w:top w:val="nil"/>
              <w:left w:val="nil"/>
              <w:bottom w:val="nil"/>
              <w:right w:val="nil"/>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rPr>
                <w:color w:val="666666"/>
                <w:sz w:val="16"/>
                <w:szCs w:val="16"/>
              </w:rPr>
            </w:pPr>
            <w:r>
              <w:rPr>
                <w:rFonts w:hint="eastAsia" w:ascii="宋体" w:hAnsi="宋体" w:eastAsia="宋体" w:cs="宋体"/>
                <w:color w:val="666666"/>
                <w:sz w:val="14"/>
                <w:szCs w:val="14"/>
                <w:bdr w:val="none" w:color="auto" w:sz="0" w:space="0"/>
              </w:rPr>
              <w:t>材料内容</w:t>
            </w:r>
          </w:p>
        </w:tc>
        <w:tc>
          <w:tcPr>
            <w:tcW w:w="850" w:type="dxa"/>
            <w:tcBorders>
              <w:top w:val="nil"/>
              <w:left w:val="nil"/>
              <w:bottom w:val="nil"/>
              <w:right w:val="nil"/>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rPr>
                <w:color w:val="666666"/>
                <w:sz w:val="16"/>
                <w:szCs w:val="16"/>
              </w:rPr>
            </w:pPr>
            <w:r>
              <w:rPr>
                <w:rFonts w:hint="eastAsia" w:ascii="宋体" w:hAnsi="宋体" w:eastAsia="宋体" w:cs="宋体"/>
                <w:color w:val="666666"/>
                <w:sz w:val="14"/>
                <w:szCs w:val="14"/>
                <w:bdr w:val="none" w:color="auto" w:sz="0" w:space="0"/>
              </w:rPr>
              <w:t>应届本科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rPr>
                <w:color w:val="666666"/>
                <w:sz w:val="16"/>
                <w:szCs w:val="16"/>
              </w:rPr>
            </w:pPr>
            <w:r>
              <w:rPr>
                <w:rFonts w:hint="eastAsia" w:ascii="宋体" w:hAnsi="宋体" w:eastAsia="宋体" w:cs="宋体"/>
                <w:color w:val="666666"/>
                <w:sz w:val="14"/>
                <w:szCs w:val="14"/>
                <w:bdr w:val="none" w:color="auto" w:sz="0" w:space="0"/>
              </w:rPr>
              <w:t>毕业生</w:t>
            </w:r>
          </w:p>
        </w:tc>
        <w:tc>
          <w:tcPr>
            <w:tcW w:w="760" w:type="dxa"/>
            <w:tcBorders>
              <w:top w:val="nil"/>
              <w:left w:val="nil"/>
              <w:bottom w:val="nil"/>
              <w:right w:val="nil"/>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rPr>
                <w:color w:val="666666"/>
                <w:sz w:val="16"/>
                <w:szCs w:val="16"/>
              </w:rPr>
            </w:pPr>
            <w:r>
              <w:rPr>
                <w:rFonts w:hint="eastAsia" w:ascii="宋体" w:hAnsi="宋体" w:eastAsia="宋体" w:cs="宋体"/>
                <w:color w:val="666666"/>
                <w:sz w:val="14"/>
                <w:szCs w:val="14"/>
                <w:bdr w:val="none" w:color="auto" w:sz="0" w:space="0"/>
              </w:rPr>
              <w:t>往届本科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rPr>
                <w:color w:val="666666"/>
                <w:sz w:val="16"/>
                <w:szCs w:val="16"/>
              </w:rPr>
            </w:pPr>
            <w:r>
              <w:rPr>
                <w:rFonts w:hint="eastAsia" w:ascii="宋体" w:hAnsi="宋体" w:eastAsia="宋体" w:cs="宋体"/>
                <w:color w:val="666666"/>
                <w:sz w:val="14"/>
                <w:szCs w:val="14"/>
                <w:bdr w:val="none" w:color="auto" w:sz="0" w:space="0"/>
              </w:rPr>
              <w:t>毕业生</w:t>
            </w:r>
          </w:p>
        </w:tc>
        <w:tc>
          <w:tcPr>
            <w:tcW w:w="1230" w:type="dxa"/>
            <w:tcBorders>
              <w:top w:val="nil"/>
              <w:left w:val="nil"/>
              <w:bottom w:val="nil"/>
              <w:right w:val="nil"/>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rPr>
                <w:color w:val="666666"/>
                <w:sz w:val="16"/>
                <w:szCs w:val="16"/>
              </w:rPr>
            </w:pPr>
            <w:r>
              <w:rPr>
                <w:rFonts w:hint="eastAsia" w:ascii="宋体" w:hAnsi="宋体" w:eastAsia="宋体" w:cs="宋体"/>
                <w:color w:val="666666"/>
                <w:sz w:val="14"/>
                <w:szCs w:val="14"/>
                <w:bdr w:val="none" w:color="auto" w:sz="0" w:space="0"/>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60" w:hRule="atLeast"/>
          <w:tblCellSpacing w:w="15" w:type="dxa"/>
        </w:trPr>
        <w:tc>
          <w:tcPr>
            <w:tcW w:w="450" w:type="dxa"/>
            <w:tcBorders>
              <w:top w:val="nil"/>
              <w:left w:val="nil"/>
              <w:bottom w:val="nil"/>
              <w:right w:val="nil"/>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rPr>
                <w:color w:val="666666"/>
                <w:sz w:val="16"/>
                <w:szCs w:val="16"/>
              </w:rPr>
            </w:pPr>
            <w:r>
              <w:rPr>
                <w:rFonts w:hint="eastAsia" w:ascii="宋体" w:hAnsi="宋体" w:eastAsia="宋体" w:cs="宋体"/>
                <w:color w:val="666666"/>
                <w:sz w:val="14"/>
                <w:szCs w:val="14"/>
                <w:bdr w:val="none" w:color="auto" w:sz="0" w:space="0"/>
              </w:rPr>
              <w:t>1</w:t>
            </w:r>
          </w:p>
        </w:tc>
        <w:tc>
          <w:tcPr>
            <w:tcW w:w="2740" w:type="dxa"/>
            <w:tcBorders>
              <w:top w:val="nil"/>
              <w:left w:val="nil"/>
              <w:bottom w:val="nil"/>
              <w:right w:val="nil"/>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rPr>
                <w:color w:val="666666"/>
                <w:sz w:val="16"/>
                <w:szCs w:val="16"/>
              </w:rPr>
            </w:pPr>
            <w:r>
              <w:rPr>
                <w:rFonts w:hint="eastAsia" w:ascii="宋体" w:hAnsi="宋体" w:eastAsia="宋体" w:cs="宋体"/>
                <w:color w:val="666666"/>
                <w:sz w:val="14"/>
                <w:szCs w:val="14"/>
                <w:bdr w:val="none" w:color="auto" w:sz="0" w:space="0"/>
              </w:rPr>
              <w:t>政治考核登记表</w:t>
            </w:r>
          </w:p>
        </w:tc>
        <w:tc>
          <w:tcPr>
            <w:tcW w:w="850" w:type="dxa"/>
            <w:tcBorders>
              <w:top w:val="nil"/>
              <w:left w:val="nil"/>
              <w:bottom w:val="nil"/>
              <w:right w:val="nil"/>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rPr>
                <w:color w:val="666666"/>
                <w:sz w:val="16"/>
                <w:szCs w:val="16"/>
              </w:rPr>
            </w:pPr>
            <w:r>
              <w:rPr>
                <w:rFonts w:hint="eastAsia" w:ascii="宋体" w:hAnsi="宋体" w:eastAsia="宋体" w:cs="宋体"/>
                <w:color w:val="666666"/>
                <w:sz w:val="14"/>
                <w:szCs w:val="14"/>
                <w:bdr w:val="none" w:color="auto" w:sz="0" w:space="0"/>
              </w:rPr>
              <w:t>√</w:t>
            </w:r>
          </w:p>
        </w:tc>
        <w:tc>
          <w:tcPr>
            <w:tcW w:w="760" w:type="dxa"/>
            <w:tcBorders>
              <w:top w:val="nil"/>
              <w:left w:val="nil"/>
              <w:bottom w:val="nil"/>
              <w:right w:val="nil"/>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rPr>
                <w:color w:val="666666"/>
                <w:sz w:val="16"/>
                <w:szCs w:val="16"/>
              </w:rPr>
            </w:pPr>
            <w:r>
              <w:rPr>
                <w:rFonts w:hint="eastAsia" w:ascii="宋体" w:hAnsi="宋体" w:eastAsia="宋体" w:cs="宋体"/>
                <w:color w:val="666666"/>
                <w:sz w:val="14"/>
                <w:szCs w:val="14"/>
                <w:bdr w:val="none" w:color="auto" w:sz="0" w:space="0"/>
              </w:rPr>
              <w:t>√</w:t>
            </w:r>
          </w:p>
        </w:tc>
        <w:tc>
          <w:tcPr>
            <w:tcW w:w="1230" w:type="dxa"/>
            <w:tcBorders>
              <w:top w:val="nil"/>
              <w:left w:val="nil"/>
              <w:bottom w:val="nil"/>
              <w:right w:val="nil"/>
            </w:tcBorders>
            <w:shd w:val="clear"/>
            <w:tcMar>
              <w:top w:w="0" w:type="dxa"/>
              <w:left w:w="70" w:type="dxa"/>
              <w:bottom w:w="0" w:type="dxa"/>
              <w:right w:w="70" w:type="dxa"/>
            </w:tcMar>
            <w:vAlign w:val="center"/>
          </w:tcPr>
          <w:p>
            <w:pPr>
              <w:keepNext w:val="0"/>
              <w:keepLines w:val="0"/>
              <w:widowControl/>
              <w:suppressLineNumbers w:val="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60" w:hRule="atLeast"/>
          <w:tblCellSpacing w:w="15" w:type="dxa"/>
        </w:trPr>
        <w:tc>
          <w:tcPr>
            <w:tcW w:w="450" w:type="dxa"/>
            <w:tcBorders>
              <w:top w:val="nil"/>
              <w:left w:val="nil"/>
              <w:bottom w:val="nil"/>
              <w:right w:val="nil"/>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rPr>
                <w:color w:val="666666"/>
                <w:sz w:val="16"/>
                <w:szCs w:val="16"/>
              </w:rPr>
            </w:pPr>
            <w:r>
              <w:rPr>
                <w:rFonts w:hint="eastAsia" w:ascii="宋体" w:hAnsi="宋体" w:eastAsia="宋体" w:cs="宋体"/>
                <w:color w:val="666666"/>
                <w:sz w:val="14"/>
                <w:szCs w:val="14"/>
                <w:bdr w:val="none" w:color="auto" w:sz="0" w:space="0"/>
              </w:rPr>
              <w:t>2</w:t>
            </w:r>
          </w:p>
        </w:tc>
        <w:tc>
          <w:tcPr>
            <w:tcW w:w="2740" w:type="dxa"/>
            <w:tcBorders>
              <w:top w:val="nil"/>
              <w:left w:val="nil"/>
              <w:bottom w:val="nil"/>
              <w:right w:val="nil"/>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rPr>
                <w:color w:val="666666"/>
                <w:sz w:val="16"/>
                <w:szCs w:val="16"/>
              </w:rPr>
            </w:pPr>
            <w:r>
              <w:rPr>
                <w:rFonts w:hint="eastAsia" w:ascii="宋体" w:hAnsi="宋体" w:eastAsia="宋体" w:cs="宋体"/>
                <w:color w:val="666666"/>
                <w:sz w:val="14"/>
                <w:szCs w:val="14"/>
                <w:bdr w:val="none" w:color="auto" w:sz="0" w:space="0"/>
              </w:rPr>
              <w:t>身份证复印件</w:t>
            </w:r>
          </w:p>
        </w:tc>
        <w:tc>
          <w:tcPr>
            <w:tcW w:w="850" w:type="dxa"/>
            <w:tcBorders>
              <w:top w:val="nil"/>
              <w:left w:val="nil"/>
              <w:bottom w:val="nil"/>
              <w:right w:val="nil"/>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rPr>
                <w:color w:val="666666"/>
                <w:sz w:val="16"/>
                <w:szCs w:val="16"/>
              </w:rPr>
            </w:pPr>
            <w:r>
              <w:rPr>
                <w:rFonts w:hint="eastAsia" w:ascii="宋体" w:hAnsi="宋体" w:eastAsia="宋体" w:cs="宋体"/>
                <w:color w:val="666666"/>
                <w:sz w:val="14"/>
                <w:szCs w:val="14"/>
                <w:bdr w:val="none" w:color="auto" w:sz="0" w:space="0"/>
              </w:rPr>
              <w:t>√</w:t>
            </w:r>
          </w:p>
        </w:tc>
        <w:tc>
          <w:tcPr>
            <w:tcW w:w="760" w:type="dxa"/>
            <w:tcBorders>
              <w:top w:val="nil"/>
              <w:left w:val="nil"/>
              <w:bottom w:val="nil"/>
              <w:right w:val="nil"/>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rPr>
                <w:color w:val="666666"/>
                <w:sz w:val="16"/>
                <w:szCs w:val="16"/>
              </w:rPr>
            </w:pPr>
            <w:r>
              <w:rPr>
                <w:rFonts w:hint="eastAsia" w:ascii="宋体" w:hAnsi="宋体" w:eastAsia="宋体" w:cs="宋体"/>
                <w:color w:val="666666"/>
                <w:sz w:val="14"/>
                <w:szCs w:val="14"/>
                <w:bdr w:val="none" w:color="auto" w:sz="0" w:space="0"/>
              </w:rPr>
              <w:t>√</w:t>
            </w:r>
          </w:p>
        </w:tc>
        <w:tc>
          <w:tcPr>
            <w:tcW w:w="1230" w:type="dxa"/>
            <w:tcBorders>
              <w:top w:val="nil"/>
              <w:left w:val="nil"/>
              <w:bottom w:val="nil"/>
              <w:right w:val="nil"/>
            </w:tcBorders>
            <w:shd w:val="clear"/>
            <w:tcMar>
              <w:top w:w="0" w:type="dxa"/>
              <w:left w:w="70" w:type="dxa"/>
              <w:bottom w:w="0" w:type="dxa"/>
              <w:right w:w="70" w:type="dxa"/>
            </w:tcMar>
            <w:vAlign w:val="center"/>
          </w:tcPr>
          <w:p>
            <w:pPr>
              <w:keepNext w:val="0"/>
              <w:keepLines w:val="0"/>
              <w:widowControl/>
              <w:suppressLineNumbers w:val="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60" w:hRule="atLeast"/>
          <w:tblCellSpacing w:w="15" w:type="dxa"/>
        </w:trPr>
        <w:tc>
          <w:tcPr>
            <w:tcW w:w="450" w:type="dxa"/>
            <w:tcBorders>
              <w:top w:val="nil"/>
              <w:left w:val="nil"/>
              <w:bottom w:val="nil"/>
              <w:right w:val="nil"/>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rPr>
                <w:color w:val="666666"/>
                <w:sz w:val="16"/>
                <w:szCs w:val="16"/>
              </w:rPr>
            </w:pPr>
            <w:r>
              <w:rPr>
                <w:rFonts w:hint="eastAsia" w:ascii="宋体" w:hAnsi="宋体" w:eastAsia="宋体" w:cs="宋体"/>
                <w:color w:val="666666"/>
                <w:sz w:val="14"/>
                <w:szCs w:val="14"/>
                <w:bdr w:val="none" w:color="auto" w:sz="0" w:space="0"/>
              </w:rPr>
              <w:t>3</w:t>
            </w:r>
          </w:p>
        </w:tc>
        <w:tc>
          <w:tcPr>
            <w:tcW w:w="2740" w:type="dxa"/>
            <w:tcBorders>
              <w:top w:val="nil"/>
              <w:left w:val="nil"/>
              <w:bottom w:val="nil"/>
              <w:right w:val="nil"/>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rPr>
                <w:color w:val="666666"/>
                <w:sz w:val="16"/>
                <w:szCs w:val="16"/>
              </w:rPr>
            </w:pPr>
            <w:r>
              <w:rPr>
                <w:rFonts w:hint="eastAsia" w:ascii="宋体" w:hAnsi="宋体" w:eastAsia="宋体" w:cs="宋体"/>
                <w:color w:val="666666"/>
                <w:sz w:val="14"/>
                <w:szCs w:val="14"/>
                <w:bdr w:val="none" w:color="auto" w:sz="0" w:space="0"/>
              </w:rPr>
              <w:t>本科毕业证、学位证复印件</w:t>
            </w:r>
          </w:p>
        </w:tc>
        <w:tc>
          <w:tcPr>
            <w:tcW w:w="850" w:type="dxa"/>
            <w:tcBorders>
              <w:top w:val="nil"/>
              <w:left w:val="nil"/>
              <w:bottom w:val="nil"/>
              <w:right w:val="nil"/>
            </w:tcBorders>
            <w:shd w:val="clear"/>
            <w:tcMar>
              <w:top w:w="0" w:type="dxa"/>
              <w:left w:w="70" w:type="dxa"/>
              <w:bottom w:w="0" w:type="dxa"/>
              <w:right w:w="70" w:type="dxa"/>
            </w:tcMar>
            <w:vAlign w:val="center"/>
          </w:tcPr>
          <w:p>
            <w:pPr>
              <w:keepNext w:val="0"/>
              <w:keepLines w:val="0"/>
              <w:widowControl/>
              <w:suppressLineNumbers w:val="0"/>
              <w:jc w:val="left"/>
            </w:pPr>
          </w:p>
        </w:tc>
        <w:tc>
          <w:tcPr>
            <w:tcW w:w="760" w:type="dxa"/>
            <w:tcBorders>
              <w:top w:val="nil"/>
              <w:left w:val="nil"/>
              <w:bottom w:val="nil"/>
              <w:right w:val="nil"/>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rPr>
                <w:color w:val="666666"/>
                <w:sz w:val="16"/>
                <w:szCs w:val="16"/>
              </w:rPr>
            </w:pPr>
            <w:r>
              <w:rPr>
                <w:rFonts w:hint="eastAsia" w:ascii="宋体" w:hAnsi="宋体" w:eastAsia="宋体" w:cs="宋体"/>
                <w:color w:val="666666"/>
                <w:sz w:val="14"/>
                <w:szCs w:val="14"/>
                <w:bdr w:val="none" w:color="auto" w:sz="0" w:space="0"/>
              </w:rPr>
              <w:t>√</w:t>
            </w:r>
          </w:p>
        </w:tc>
        <w:tc>
          <w:tcPr>
            <w:tcW w:w="1230" w:type="dxa"/>
            <w:tcBorders>
              <w:top w:val="nil"/>
              <w:left w:val="nil"/>
              <w:bottom w:val="nil"/>
              <w:right w:val="nil"/>
            </w:tcBorders>
            <w:shd w:val="clear"/>
            <w:tcMar>
              <w:top w:w="0" w:type="dxa"/>
              <w:left w:w="70" w:type="dxa"/>
              <w:bottom w:w="0" w:type="dxa"/>
              <w:right w:w="70" w:type="dxa"/>
            </w:tcMar>
            <w:vAlign w:val="center"/>
          </w:tcPr>
          <w:p>
            <w:pPr>
              <w:keepNext w:val="0"/>
              <w:keepLines w:val="0"/>
              <w:widowControl/>
              <w:suppressLineNumbers w:val="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60" w:hRule="atLeast"/>
          <w:tblCellSpacing w:w="15" w:type="dxa"/>
        </w:trPr>
        <w:tc>
          <w:tcPr>
            <w:tcW w:w="450" w:type="dxa"/>
            <w:tcBorders>
              <w:top w:val="nil"/>
              <w:left w:val="nil"/>
              <w:bottom w:val="nil"/>
              <w:right w:val="nil"/>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rPr>
                <w:color w:val="666666"/>
                <w:sz w:val="16"/>
                <w:szCs w:val="16"/>
              </w:rPr>
            </w:pPr>
            <w:r>
              <w:rPr>
                <w:rFonts w:hint="eastAsia" w:ascii="宋体" w:hAnsi="宋体" w:eastAsia="宋体" w:cs="宋体"/>
                <w:color w:val="666666"/>
                <w:sz w:val="14"/>
                <w:szCs w:val="14"/>
                <w:bdr w:val="none" w:color="auto" w:sz="0" w:space="0"/>
              </w:rPr>
              <w:t>4</w:t>
            </w:r>
          </w:p>
        </w:tc>
        <w:tc>
          <w:tcPr>
            <w:tcW w:w="2740" w:type="dxa"/>
            <w:tcBorders>
              <w:top w:val="nil"/>
              <w:left w:val="nil"/>
              <w:bottom w:val="nil"/>
              <w:right w:val="nil"/>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rPr>
                <w:color w:val="666666"/>
                <w:sz w:val="16"/>
                <w:szCs w:val="16"/>
              </w:rPr>
            </w:pPr>
            <w:r>
              <w:rPr>
                <w:rFonts w:hint="eastAsia" w:ascii="宋体" w:hAnsi="宋体" w:eastAsia="宋体" w:cs="宋体"/>
                <w:color w:val="666666"/>
                <w:sz w:val="14"/>
                <w:szCs w:val="14"/>
                <w:bdr w:val="none" w:color="auto" w:sz="0" w:space="0"/>
              </w:rPr>
              <w:t>教育部学历在线认证报告或学历认证报告</w:t>
            </w:r>
          </w:p>
        </w:tc>
        <w:tc>
          <w:tcPr>
            <w:tcW w:w="850" w:type="dxa"/>
            <w:tcBorders>
              <w:top w:val="nil"/>
              <w:left w:val="nil"/>
              <w:bottom w:val="nil"/>
              <w:right w:val="nil"/>
            </w:tcBorders>
            <w:shd w:val="clear"/>
            <w:tcMar>
              <w:top w:w="0" w:type="dxa"/>
              <w:left w:w="70" w:type="dxa"/>
              <w:bottom w:w="0" w:type="dxa"/>
              <w:right w:w="70" w:type="dxa"/>
            </w:tcMar>
            <w:vAlign w:val="center"/>
          </w:tcPr>
          <w:p>
            <w:pPr>
              <w:keepNext w:val="0"/>
              <w:keepLines w:val="0"/>
              <w:widowControl/>
              <w:suppressLineNumbers w:val="0"/>
              <w:jc w:val="left"/>
            </w:pPr>
          </w:p>
        </w:tc>
        <w:tc>
          <w:tcPr>
            <w:tcW w:w="760" w:type="dxa"/>
            <w:tcBorders>
              <w:top w:val="nil"/>
              <w:left w:val="nil"/>
              <w:bottom w:val="nil"/>
              <w:right w:val="nil"/>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rPr>
                <w:color w:val="666666"/>
                <w:sz w:val="16"/>
                <w:szCs w:val="16"/>
              </w:rPr>
            </w:pPr>
            <w:r>
              <w:rPr>
                <w:rFonts w:hint="eastAsia" w:ascii="宋体" w:hAnsi="宋体" w:eastAsia="宋体" w:cs="宋体"/>
                <w:color w:val="666666"/>
                <w:sz w:val="14"/>
                <w:szCs w:val="14"/>
                <w:bdr w:val="none" w:color="auto" w:sz="0" w:space="0"/>
              </w:rPr>
              <w:t>√</w:t>
            </w:r>
          </w:p>
        </w:tc>
        <w:tc>
          <w:tcPr>
            <w:tcW w:w="1230" w:type="dxa"/>
            <w:vMerge w:val="restart"/>
            <w:tcBorders>
              <w:top w:val="nil"/>
              <w:left w:val="nil"/>
              <w:bottom w:val="nil"/>
              <w:right w:val="nil"/>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rPr>
                <w:color w:val="666666"/>
                <w:sz w:val="16"/>
                <w:szCs w:val="16"/>
              </w:rPr>
            </w:pPr>
            <w:r>
              <w:rPr>
                <w:rFonts w:hint="eastAsia" w:ascii="宋体" w:hAnsi="宋体" w:eastAsia="宋体" w:cs="宋体"/>
                <w:color w:val="666666"/>
                <w:sz w:val="14"/>
                <w:szCs w:val="14"/>
                <w:bdr w:val="none" w:color="auto" w:sz="0" w:space="0"/>
              </w:rPr>
              <w:t>未通过学信网验证的需提供佐证材料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60" w:hRule="atLeast"/>
          <w:tblCellSpacing w:w="15" w:type="dxa"/>
        </w:trPr>
        <w:tc>
          <w:tcPr>
            <w:tcW w:w="450" w:type="dxa"/>
            <w:tcBorders>
              <w:top w:val="nil"/>
              <w:left w:val="nil"/>
              <w:bottom w:val="nil"/>
              <w:right w:val="nil"/>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rPr>
                <w:color w:val="666666"/>
                <w:sz w:val="16"/>
                <w:szCs w:val="16"/>
              </w:rPr>
            </w:pPr>
            <w:r>
              <w:rPr>
                <w:rFonts w:hint="eastAsia" w:ascii="宋体" w:hAnsi="宋体" w:eastAsia="宋体" w:cs="宋体"/>
                <w:color w:val="666666"/>
                <w:sz w:val="14"/>
                <w:szCs w:val="14"/>
                <w:bdr w:val="none" w:color="auto" w:sz="0" w:space="0"/>
              </w:rPr>
              <w:t>5</w:t>
            </w:r>
          </w:p>
        </w:tc>
        <w:tc>
          <w:tcPr>
            <w:tcW w:w="2740" w:type="dxa"/>
            <w:tcBorders>
              <w:top w:val="nil"/>
              <w:left w:val="nil"/>
              <w:bottom w:val="nil"/>
              <w:right w:val="nil"/>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rPr>
                <w:color w:val="666666"/>
                <w:sz w:val="16"/>
                <w:szCs w:val="16"/>
              </w:rPr>
            </w:pPr>
            <w:r>
              <w:rPr>
                <w:rFonts w:hint="eastAsia" w:ascii="宋体" w:hAnsi="宋体" w:eastAsia="宋体" w:cs="宋体"/>
                <w:color w:val="666666"/>
                <w:sz w:val="14"/>
                <w:szCs w:val="14"/>
                <w:bdr w:val="none" w:color="auto" w:sz="0" w:space="0"/>
              </w:rPr>
              <w:t>教育部学籍在线认证报告</w:t>
            </w:r>
          </w:p>
        </w:tc>
        <w:tc>
          <w:tcPr>
            <w:tcW w:w="850" w:type="dxa"/>
            <w:tcBorders>
              <w:top w:val="nil"/>
              <w:left w:val="nil"/>
              <w:bottom w:val="nil"/>
              <w:right w:val="nil"/>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rPr>
                <w:color w:val="666666"/>
                <w:sz w:val="16"/>
                <w:szCs w:val="16"/>
              </w:rPr>
            </w:pPr>
            <w:r>
              <w:rPr>
                <w:rFonts w:hint="eastAsia" w:ascii="宋体" w:hAnsi="宋体" w:eastAsia="宋体" w:cs="宋体"/>
                <w:color w:val="666666"/>
                <w:sz w:val="14"/>
                <w:szCs w:val="14"/>
                <w:bdr w:val="none" w:color="auto" w:sz="0" w:space="0"/>
              </w:rPr>
              <w:t>√</w:t>
            </w:r>
          </w:p>
        </w:tc>
        <w:tc>
          <w:tcPr>
            <w:tcW w:w="760" w:type="dxa"/>
            <w:tcBorders>
              <w:top w:val="nil"/>
              <w:left w:val="nil"/>
              <w:bottom w:val="nil"/>
              <w:right w:val="nil"/>
            </w:tcBorders>
            <w:shd w:val="clear"/>
            <w:tcMar>
              <w:top w:w="0" w:type="dxa"/>
              <w:left w:w="70" w:type="dxa"/>
              <w:bottom w:w="0" w:type="dxa"/>
              <w:right w:w="70" w:type="dxa"/>
            </w:tcMar>
            <w:vAlign w:val="center"/>
          </w:tcPr>
          <w:p>
            <w:pPr>
              <w:keepNext w:val="0"/>
              <w:keepLines w:val="0"/>
              <w:widowControl/>
              <w:suppressLineNumbers w:val="0"/>
              <w:jc w:val="left"/>
            </w:pPr>
          </w:p>
        </w:tc>
        <w:tc>
          <w:tcPr>
            <w:tcW w:w="1230" w:type="dxa"/>
            <w:vMerge w:val="continue"/>
            <w:tcBorders>
              <w:top w:val="nil"/>
              <w:left w:val="nil"/>
              <w:bottom w:val="nil"/>
              <w:right w:val="nil"/>
            </w:tcBorders>
            <w:shd w:val="clear"/>
            <w:tcMar>
              <w:top w:w="0" w:type="dxa"/>
              <w:left w:w="70" w:type="dxa"/>
              <w:bottom w:w="0" w:type="dxa"/>
              <w:right w:w="70"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60" w:hRule="atLeast"/>
          <w:tblCellSpacing w:w="15" w:type="dxa"/>
        </w:trPr>
        <w:tc>
          <w:tcPr>
            <w:tcW w:w="450" w:type="dxa"/>
            <w:tcBorders>
              <w:top w:val="nil"/>
              <w:left w:val="nil"/>
              <w:bottom w:val="nil"/>
              <w:right w:val="nil"/>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rPr>
                <w:color w:val="666666"/>
                <w:sz w:val="16"/>
                <w:szCs w:val="16"/>
              </w:rPr>
            </w:pPr>
            <w:r>
              <w:rPr>
                <w:rFonts w:hint="eastAsia" w:ascii="宋体" w:hAnsi="宋体" w:eastAsia="宋体" w:cs="宋体"/>
                <w:color w:val="666666"/>
                <w:sz w:val="14"/>
                <w:szCs w:val="14"/>
                <w:bdr w:val="none" w:color="auto" w:sz="0" w:space="0"/>
              </w:rPr>
              <w:t>6</w:t>
            </w:r>
          </w:p>
        </w:tc>
        <w:tc>
          <w:tcPr>
            <w:tcW w:w="2740" w:type="dxa"/>
            <w:tcBorders>
              <w:top w:val="nil"/>
              <w:left w:val="nil"/>
              <w:bottom w:val="nil"/>
              <w:right w:val="nil"/>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rPr>
                <w:color w:val="666666"/>
                <w:sz w:val="16"/>
                <w:szCs w:val="16"/>
              </w:rPr>
            </w:pPr>
            <w:r>
              <w:rPr>
                <w:rFonts w:hint="eastAsia" w:ascii="宋体" w:hAnsi="宋体" w:eastAsia="宋体" w:cs="宋体"/>
                <w:color w:val="666666"/>
                <w:sz w:val="14"/>
                <w:szCs w:val="14"/>
                <w:bdr w:val="none" w:color="auto" w:sz="0" w:space="0"/>
              </w:rPr>
              <w:t>大学期间成绩单（教务部门盖章）</w:t>
            </w:r>
          </w:p>
        </w:tc>
        <w:tc>
          <w:tcPr>
            <w:tcW w:w="850" w:type="dxa"/>
            <w:tcBorders>
              <w:top w:val="nil"/>
              <w:left w:val="nil"/>
              <w:bottom w:val="nil"/>
              <w:right w:val="nil"/>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rPr>
                <w:color w:val="666666"/>
                <w:sz w:val="16"/>
                <w:szCs w:val="16"/>
              </w:rPr>
            </w:pPr>
            <w:r>
              <w:rPr>
                <w:rFonts w:hint="eastAsia" w:ascii="宋体" w:hAnsi="宋体" w:eastAsia="宋体" w:cs="宋体"/>
                <w:color w:val="666666"/>
                <w:sz w:val="14"/>
                <w:szCs w:val="14"/>
                <w:bdr w:val="none" w:color="auto" w:sz="0" w:space="0"/>
              </w:rPr>
              <w:t>√</w:t>
            </w:r>
          </w:p>
        </w:tc>
        <w:tc>
          <w:tcPr>
            <w:tcW w:w="760" w:type="dxa"/>
            <w:tcBorders>
              <w:top w:val="nil"/>
              <w:left w:val="nil"/>
              <w:bottom w:val="nil"/>
              <w:right w:val="nil"/>
            </w:tcBorders>
            <w:shd w:val="clear"/>
            <w:tcMar>
              <w:top w:w="0" w:type="dxa"/>
              <w:left w:w="70" w:type="dxa"/>
              <w:bottom w:w="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rPr>
                <w:color w:val="666666"/>
                <w:sz w:val="16"/>
                <w:szCs w:val="16"/>
              </w:rPr>
            </w:pPr>
            <w:r>
              <w:rPr>
                <w:rFonts w:hint="eastAsia" w:ascii="宋体" w:hAnsi="宋体" w:eastAsia="宋体" w:cs="宋体"/>
                <w:color w:val="666666"/>
                <w:sz w:val="14"/>
                <w:szCs w:val="14"/>
                <w:bdr w:val="none" w:color="auto" w:sz="0" w:space="0"/>
              </w:rPr>
              <w:t>√</w:t>
            </w:r>
          </w:p>
        </w:tc>
        <w:tc>
          <w:tcPr>
            <w:tcW w:w="1230" w:type="dxa"/>
            <w:tcBorders>
              <w:top w:val="nil"/>
              <w:left w:val="nil"/>
              <w:bottom w:val="nil"/>
              <w:right w:val="nil"/>
            </w:tcBorders>
            <w:shd w:val="clear"/>
            <w:tcMar>
              <w:top w:w="0" w:type="dxa"/>
              <w:left w:w="70" w:type="dxa"/>
              <w:bottom w:w="0" w:type="dxa"/>
              <w:right w:w="70" w:type="dxa"/>
            </w:tcMar>
            <w:vAlign w:val="center"/>
          </w:tcPr>
          <w:p>
            <w:pPr>
              <w:keepNext w:val="0"/>
              <w:keepLines w:val="0"/>
              <w:widowControl/>
              <w:suppressLineNumbers w:val="0"/>
              <w:jc w:val="left"/>
            </w:pP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0" w:lineRule="atLeast"/>
        <w:ind w:left="0" w:right="0" w:firstLine="400"/>
        <w:rPr>
          <w:color w:val="666666"/>
          <w:sz w:val="16"/>
          <w:szCs w:val="16"/>
        </w:rPr>
      </w:pPr>
      <w:r>
        <w:rPr>
          <w:rFonts w:hint="eastAsia" w:ascii="黑体" w:hAnsi="宋体" w:eastAsia="黑体" w:cs="黑体"/>
          <w:color w:val="666666"/>
          <w:sz w:val="20"/>
          <w:szCs w:val="20"/>
          <w:bdr w:val="none" w:color="auto" w:sz="0" w:space="0"/>
        </w:rPr>
        <w:t>五、复试和录取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0" w:lineRule="atLeast"/>
        <w:ind w:left="0" w:right="0" w:firstLine="400"/>
        <w:jc w:val="both"/>
        <w:rPr>
          <w:color w:val="666666"/>
          <w:sz w:val="16"/>
          <w:szCs w:val="16"/>
        </w:rPr>
      </w:pPr>
      <w:r>
        <w:rPr>
          <w:rFonts w:hint="eastAsia" w:ascii="仿宋" w:hAnsi="仿宋" w:eastAsia="仿宋" w:cs="仿宋"/>
          <w:color w:val="666666"/>
          <w:sz w:val="20"/>
          <w:szCs w:val="20"/>
          <w:bdr w:val="none" w:color="auto" w:sz="0" w:space="0"/>
        </w:rPr>
        <w:t>1.我校复试采取“现场复试”方式进行，有关办法和流程详见《火箭军工程大学2023年硕士研究生招生复试录取工作办法》。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0" w:lineRule="atLeast"/>
        <w:ind w:left="0" w:right="0" w:firstLine="400"/>
        <w:jc w:val="both"/>
        <w:rPr>
          <w:color w:val="666666"/>
          <w:sz w:val="16"/>
          <w:szCs w:val="16"/>
        </w:rPr>
      </w:pPr>
      <w:r>
        <w:rPr>
          <w:rFonts w:hint="eastAsia" w:ascii="仿宋" w:hAnsi="仿宋" w:eastAsia="仿宋" w:cs="仿宋"/>
          <w:color w:val="666666"/>
          <w:sz w:val="20"/>
          <w:szCs w:val="20"/>
          <w:bdr w:val="none" w:color="auto" w:sz="0" w:space="0"/>
        </w:rPr>
        <w:t>2.学校将结合各学科方向录取指标和学科建设发展需要，依据调剂考生复试总成绩排序进行择优录取，总成绩相同的考生按照初试成绩从高到低进行排序。</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0" w:lineRule="atLeast"/>
        <w:ind w:left="0" w:right="0" w:firstLine="400"/>
        <w:jc w:val="both"/>
        <w:rPr>
          <w:color w:val="666666"/>
          <w:sz w:val="16"/>
          <w:szCs w:val="16"/>
        </w:rPr>
      </w:pPr>
      <w:r>
        <w:rPr>
          <w:rFonts w:hint="eastAsia" w:ascii="仿宋" w:hAnsi="仿宋" w:eastAsia="仿宋" w:cs="仿宋"/>
          <w:color w:val="666666"/>
          <w:sz w:val="20"/>
          <w:szCs w:val="20"/>
          <w:bdr w:val="none" w:color="auto" w:sz="0" w:space="0"/>
        </w:rPr>
        <w:t>3.学校通过“调剂服务系统”向待录取考生发送待录取通知，考生须在12小时内予以答复，逾期将取消其待录取资格，并按总成绩由高到低的顺序进行递补录取。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0" w:lineRule="atLeast"/>
        <w:ind w:left="0" w:right="0" w:firstLine="400"/>
        <w:jc w:val="both"/>
        <w:rPr>
          <w:color w:val="666666"/>
          <w:sz w:val="16"/>
          <w:szCs w:val="16"/>
        </w:rPr>
      </w:pPr>
      <w:r>
        <w:rPr>
          <w:rFonts w:hint="eastAsia" w:ascii="仿宋" w:hAnsi="仿宋" w:eastAsia="仿宋" w:cs="仿宋"/>
          <w:color w:val="666666"/>
          <w:sz w:val="20"/>
          <w:szCs w:val="20"/>
          <w:bdr w:val="none" w:color="auto" w:sz="0" w:space="0"/>
        </w:rPr>
        <w:t>4.心理测试和健康状况不符合我校要求的不予录取。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0" w:lineRule="atLeast"/>
        <w:ind w:left="0" w:right="0" w:firstLine="400"/>
        <w:jc w:val="both"/>
        <w:rPr>
          <w:color w:val="666666"/>
          <w:sz w:val="16"/>
          <w:szCs w:val="16"/>
        </w:rPr>
      </w:pPr>
      <w:r>
        <w:rPr>
          <w:rFonts w:hint="eastAsia" w:ascii="黑体" w:hAnsi="宋体" w:eastAsia="黑体" w:cs="黑体"/>
          <w:color w:val="666666"/>
          <w:sz w:val="20"/>
          <w:szCs w:val="20"/>
          <w:bdr w:val="none" w:color="auto" w:sz="0" w:space="0"/>
        </w:rPr>
        <w:t>六、其他说明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0" w:lineRule="atLeast"/>
        <w:ind w:left="0" w:right="0" w:firstLine="400"/>
        <w:jc w:val="both"/>
        <w:rPr>
          <w:color w:val="666666"/>
          <w:sz w:val="16"/>
          <w:szCs w:val="16"/>
        </w:rPr>
      </w:pPr>
      <w:r>
        <w:rPr>
          <w:rFonts w:hint="eastAsia" w:ascii="仿宋" w:hAnsi="仿宋" w:eastAsia="仿宋" w:cs="仿宋"/>
          <w:color w:val="666666"/>
          <w:sz w:val="20"/>
          <w:szCs w:val="20"/>
          <w:bdr w:val="none" w:color="auto" w:sz="0" w:space="0"/>
        </w:rPr>
        <w:t>1.无军籍地方硕士研究生学习形式为全日制，学制为2.5年。</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0" w:lineRule="atLeast"/>
        <w:ind w:left="0" w:right="0" w:firstLine="400"/>
        <w:jc w:val="both"/>
        <w:rPr>
          <w:color w:val="666666"/>
          <w:sz w:val="16"/>
          <w:szCs w:val="16"/>
        </w:rPr>
      </w:pPr>
      <w:r>
        <w:rPr>
          <w:rFonts w:hint="eastAsia" w:ascii="仿宋" w:hAnsi="仿宋" w:eastAsia="仿宋" w:cs="仿宋"/>
          <w:color w:val="666666"/>
          <w:sz w:val="20"/>
          <w:szCs w:val="20"/>
          <w:bdr w:val="none" w:color="auto" w:sz="0" w:space="0"/>
        </w:rPr>
        <w:t>2.无军籍地方硕士研究生录取后不办理入伍手续，毕业后颁发教育部承认的学历和学位证书，自主就业。</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0" w:lineRule="atLeast"/>
        <w:ind w:left="0" w:right="0" w:firstLine="400"/>
        <w:rPr>
          <w:color w:val="666666"/>
          <w:sz w:val="16"/>
          <w:szCs w:val="16"/>
        </w:rPr>
      </w:pPr>
      <w:r>
        <w:rPr>
          <w:rFonts w:hint="eastAsia" w:ascii="黑体" w:hAnsi="宋体" w:eastAsia="黑体" w:cs="黑体"/>
          <w:color w:val="666666"/>
          <w:sz w:val="20"/>
          <w:szCs w:val="20"/>
          <w:bdr w:val="none" w:color="auto" w:sz="0" w:space="0"/>
        </w:rPr>
        <w:t>七、联系方式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0" w:lineRule="atLeast"/>
        <w:ind w:left="0" w:right="0" w:firstLine="400"/>
        <w:rPr>
          <w:color w:val="666666"/>
          <w:sz w:val="16"/>
          <w:szCs w:val="16"/>
        </w:rPr>
      </w:pPr>
      <w:r>
        <w:rPr>
          <w:rFonts w:hint="eastAsia" w:ascii="仿宋" w:hAnsi="仿宋" w:eastAsia="仿宋" w:cs="仿宋"/>
          <w:color w:val="666666"/>
          <w:sz w:val="20"/>
          <w:szCs w:val="20"/>
          <w:bdr w:val="none" w:color="auto" w:sz="0" w:space="0"/>
        </w:rPr>
        <w:t>地址：陕西省西安市灞桥区洪庆同心路2号</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0" w:lineRule="atLeast"/>
        <w:ind w:left="0" w:right="0" w:firstLine="400"/>
        <w:rPr>
          <w:color w:val="666666"/>
          <w:sz w:val="16"/>
          <w:szCs w:val="16"/>
        </w:rPr>
      </w:pPr>
      <w:r>
        <w:rPr>
          <w:rFonts w:hint="eastAsia" w:ascii="仿宋" w:hAnsi="仿宋" w:eastAsia="仿宋" w:cs="仿宋"/>
          <w:color w:val="666666"/>
          <w:sz w:val="20"/>
          <w:szCs w:val="20"/>
          <w:bdr w:val="none" w:color="auto" w:sz="0" w:space="0"/>
        </w:rPr>
        <w:t>邮编：710025</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0" w:lineRule="atLeast"/>
        <w:ind w:left="0" w:right="0" w:firstLine="400"/>
        <w:rPr>
          <w:color w:val="666666"/>
          <w:sz w:val="16"/>
          <w:szCs w:val="16"/>
        </w:rPr>
      </w:pPr>
      <w:r>
        <w:rPr>
          <w:rFonts w:hint="eastAsia" w:ascii="仿宋" w:hAnsi="仿宋" w:eastAsia="仿宋" w:cs="仿宋"/>
          <w:color w:val="666666"/>
          <w:sz w:val="20"/>
          <w:szCs w:val="20"/>
          <w:bdr w:val="none" w:color="auto" w:sz="0" w:space="0"/>
        </w:rPr>
        <w:t>联系电话：029-84742766</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0" w:lineRule="atLeast"/>
        <w:ind w:left="0" w:right="0" w:firstLine="400"/>
        <w:rPr>
          <w:color w:val="666666"/>
          <w:sz w:val="16"/>
          <w:szCs w:val="16"/>
        </w:rPr>
      </w:pPr>
      <w:r>
        <w:rPr>
          <w:rFonts w:hint="eastAsia" w:ascii="仿宋" w:hAnsi="仿宋" w:eastAsia="仿宋" w:cs="仿宋"/>
          <w:color w:val="666666"/>
          <w:sz w:val="20"/>
          <w:szCs w:val="20"/>
          <w:bdr w:val="none" w:color="auto" w:sz="0" w:space="0"/>
        </w:rPr>
        <w:t>E-mail：hjjgcdx84742766@163.com</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0" w:lineRule="atLeast"/>
        <w:ind w:left="0" w:right="0" w:firstLine="400"/>
        <w:rPr>
          <w:color w:val="666666"/>
          <w:sz w:val="16"/>
          <w:szCs w:val="16"/>
        </w:rPr>
      </w:pPr>
      <w:r>
        <w:rPr>
          <w:rFonts w:hint="eastAsia" w:ascii="仿宋" w:hAnsi="仿宋" w:eastAsia="仿宋" w:cs="仿宋"/>
          <w:color w:val="666666"/>
          <w:sz w:val="20"/>
          <w:szCs w:val="20"/>
          <w:bdr w:val="none" w:color="auto" w:sz="0" w:space="0"/>
        </w:rPr>
        <w:t>有关政策办法如有调整，以教育部、中央军委训练管理部正式下达的文件为准。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0" w:lineRule="atLeast"/>
        <w:ind w:left="0" w:right="0" w:firstLine="400"/>
        <w:rPr>
          <w:color w:val="666666"/>
          <w:sz w:val="16"/>
          <w:szCs w:val="16"/>
        </w:rPr>
      </w:pPr>
      <w:r>
        <w:rPr>
          <w:rFonts w:hint="eastAsia" w:ascii="仿宋" w:hAnsi="仿宋" w:eastAsia="仿宋" w:cs="仿宋"/>
          <w:color w:val="666666"/>
          <w:sz w:val="20"/>
          <w:szCs w:val="20"/>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0" w:lineRule="atLeast"/>
        <w:ind w:left="0" w:right="0" w:firstLine="400"/>
        <w:rPr>
          <w:color w:val="666666"/>
          <w:sz w:val="16"/>
          <w:szCs w:val="16"/>
        </w:rPr>
      </w:pPr>
      <w:r>
        <w:rPr>
          <w:rFonts w:hint="eastAsia" w:ascii="仿宋" w:hAnsi="仿宋" w:eastAsia="仿宋" w:cs="仿宋"/>
          <w:color w:val="666666"/>
          <w:sz w:val="20"/>
          <w:szCs w:val="20"/>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0" w:lineRule="atLeast"/>
        <w:ind w:left="0" w:right="0" w:firstLine="400"/>
        <w:rPr>
          <w:color w:val="666666"/>
          <w:sz w:val="16"/>
          <w:szCs w:val="16"/>
        </w:rPr>
      </w:pPr>
      <w:r>
        <w:rPr>
          <w:rFonts w:hint="eastAsia" w:ascii="仿宋" w:hAnsi="仿宋" w:eastAsia="仿宋" w:cs="仿宋"/>
          <w:color w:val="666666"/>
          <w:sz w:val="20"/>
          <w:szCs w:val="20"/>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0" w:lineRule="atLeast"/>
        <w:ind w:left="0" w:right="0" w:firstLine="2600"/>
        <w:rPr>
          <w:color w:val="666666"/>
          <w:sz w:val="16"/>
          <w:szCs w:val="16"/>
        </w:rPr>
      </w:pPr>
      <w:r>
        <w:rPr>
          <w:rFonts w:hint="eastAsia" w:ascii="仿宋" w:hAnsi="仿宋" w:eastAsia="仿宋" w:cs="仿宋"/>
          <w:color w:val="666666"/>
          <w:sz w:val="20"/>
          <w:szCs w:val="20"/>
          <w:bdr w:val="none" w:color="auto" w:sz="0" w:space="0"/>
        </w:rPr>
        <w:t>   火箭军工程大学研招办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40" w:afterAutospacing="0" w:line="300" w:lineRule="atLeast"/>
        <w:ind w:left="0" w:right="0" w:firstLine="0"/>
        <w:rPr>
          <w:color w:val="666666"/>
          <w:sz w:val="16"/>
          <w:szCs w:val="16"/>
        </w:rPr>
      </w:pPr>
      <w:r>
        <w:rPr>
          <w:rFonts w:hint="eastAsia" w:ascii="仿宋" w:hAnsi="仿宋" w:eastAsia="仿宋" w:cs="仿宋"/>
          <w:color w:val="666666"/>
          <w:sz w:val="20"/>
          <w:szCs w:val="20"/>
          <w:bdr w:val="none" w:color="auto" w:sz="0" w:space="0"/>
        </w:rPr>
        <w:t>                                2023年4月6日</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40" w:afterAutospacing="0" w:line="300" w:lineRule="atLeast"/>
        <w:ind w:left="0" w:right="0" w:firstLine="0"/>
        <w:rPr>
          <w:color w:val="666666"/>
          <w:sz w:val="16"/>
          <w:szCs w:val="16"/>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6F077E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2023-05-03T07:05:22Z</dcterms:created>
  <dc:creator>Administrator</dc:creator>
  <cp:lastModifiedBy>王英</cp:lastModifiedBy>
  <dcterms:modified xsi:type="dcterms:W3CDTF">2023-05-03T07:05:30Z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A0D70A009D754C6DA818C02D3E04DE2E</vt:lpwstr>
  </property>
</Properties>
</file>