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6" w:lineRule="atLeast"/>
        <w:ind w:left="0" w:right="0" w:firstLine="0"/>
        <w:jc w:val="center"/>
        <w:rPr>
          <w:rFonts w:ascii="微软雅黑" w:hAnsi="微软雅黑" w:eastAsia="微软雅黑" w:cs="微软雅黑"/>
          <w:i w:val="0"/>
          <w:iCs w:val="0"/>
          <w:caps w:val="0"/>
          <w:color w:val="000000"/>
          <w:spacing w:val="0"/>
          <w:sz w:val="31"/>
          <w:szCs w:val="31"/>
        </w:rPr>
      </w:pPr>
      <w:r>
        <w:rPr>
          <w:rStyle w:val="5"/>
          <w:rFonts w:hint="eastAsia" w:ascii="微软雅黑" w:hAnsi="微软雅黑" w:eastAsia="微软雅黑" w:cs="微软雅黑"/>
          <w:i w:val="0"/>
          <w:iCs w:val="0"/>
          <w:caps w:val="0"/>
          <w:color w:val="000000"/>
          <w:spacing w:val="0"/>
          <w:kern w:val="0"/>
          <w:sz w:val="31"/>
          <w:szCs w:val="31"/>
          <w:bdr w:val="none" w:color="auto" w:sz="0" w:space="0"/>
          <w:lang w:val="en-US" w:eastAsia="zh-CN" w:bidi="ar"/>
        </w:rPr>
        <w:t>甘肃农业大学园艺学院2023年硕士研究生招生调剂复试录取工作实施细则</w:t>
      </w:r>
    </w:p>
    <w:p>
      <w:pPr>
        <w:keepNext w:val="0"/>
        <w:keepLines w:val="0"/>
        <w:widowControl/>
        <w:suppressLineNumbers w:val="0"/>
        <w:pBdr>
          <w:top w:val="none" w:color="auto" w:sz="0" w:space="0"/>
          <w:left w:val="none" w:color="auto" w:sz="0" w:space="0"/>
          <w:bottom w:val="dashed" w:color="DDDDDD" w:sz="4" w:space="0"/>
          <w:right w:val="none" w:color="auto" w:sz="0" w:space="0"/>
        </w:pBdr>
        <w:spacing w:before="0" w:beforeAutospacing="0" w:after="240" w:afterAutospacing="0"/>
        <w:ind w:left="0" w:right="0" w:firstLine="0"/>
        <w:jc w:val="center"/>
        <w:rPr>
          <w:rFonts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bdr w:val="none" w:color="auto" w:sz="0" w:space="0"/>
          <w:lang w:val="en-US" w:eastAsia="zh-CN" w:bidi="ar"/>
        </w:rPr>
        <w:t>发布时间：2023-04-13  |  查看次数：[1296]</w:t>
      </w:r>
    </w:p>
    <w:p>
      <w:pPr>
        <w:pStyle w:val="2"/>
        <w:keepNext w:val="0"/>
        <w:keepLines w:val="0"/>
        <w:widowControl/>
        <w:suppressLineNumbers w:val="0"/>
        <w:spacing w:before="0" w:beforeAutospacing="0" w:after="0" w:afterAutospacing="0" w:line="630" w:lineRule="atLeast"/>
        <w:ind w:left="0" w:right="0"/>
        <w:jc w:val="left"/>
      </w:pPr>
      <w:r>
        <w:rPr>
          <w:rFonts w:ascii="fangsong_gb2312" w:hAnsi="fangsong_gb2312" w:eastAsia="fangsong_gb2312" w:cs="fangsong_gb2312"/>
          <w:i w:val="0"/>
          <w:iCs w:val="0"/>
          <w:caps w:val="0"/>
          <w:color w:val="000000"/>
          <w:spacing w:val="0"/>
          <w:sz w:val="28"/>
          <w:szCs w:val="28"/>
          <w:bdr w:val="none" w:color="auto" w:sz="0" w:space="0"/>
        </w:rPr>
        <w:t>   根据《教育部办公厅关于加强硕士研究生招生复试工作的指导意见》（教学〔2006〕4号）、《2023年全国硕士研究生招生工作管理规定》（教学〔2022〕3号）、《关于做好2023年全国硕士研究生复试录取工作的通知》（教学司〔2023〕3号）以及《关于做好甘肃省2023年全国硕士研究生招生复试录取工作的通知》等文件精神，结合我校实际，为安全、公平、科学做好我院2023年全国硕士研究生复试录取工作，现将我院2023年硕士研究生招生复试录取工作（调剂）有关事宜安排如下。</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一、调剂要求</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1. 接受调剂专业及名额</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本次我院接受调剂专业为：095131 农艺与种业（园艺）</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接受调剂名额：7人</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2.调剂条件如下，调剂复试执行差额复试，差额比例约为150%。</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本科专业为植物类相关专业且第一志愿报考专业为农艺与种业、果树学、蔬菜学或设施园艺学专业的上线调剂考生；</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二、调剂复试形式及方案</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调剂复试包括笔试和面试两部分。具体复试内容、复试形式、复试流程参考园艺学院网页公布的《甘肃农业大学园艺学院2023年硕士研究生招生复试录取工作实施细则》，网址如下：</w: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begin"/>
      </w:r>
      <w:r>
        <w:rPr>
          <w:rFonts w:hint="default" w:ascii="fangsong_gb2312" w:hAnsi="fangsong_gb2312" w:eastAsia="fangsong_gb2312" w:cs="fangsong_gb2312"/>
          <w:i w:val="0"/>
          <w:iCs w:val="0"/>
          <w:caps w:val="0"/>
          <w:color w:val="333333"/>
          <w:spacing w:val="0"/>
          <w:sz w:val="28"/>
          <w:szCs w:val="28"/>
          <w:u w:val="single"/>
          <w:bdr w:val="none" w:color="auto" w:sz="0" w:space="0"/>
        </w:rPr>
        <w:instrText xml:space="preserve"> HYPERLINK "https://yyxy.gsau.edu.cn/info/1007/7742.htm" </w:instrTex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separate"/>
      </w:r>
      <w:r>
        <w:rPr>
          <w:rStyle w:val="6"/>
          <w:rFonts w:hint="default" w:ascii="fangsong_gb2312" w:hAnsi="fangsong_gb2312" w:eastAsia="fangsong_gb2312" w:cs="fangsong_gb2312"/>
          <w:i w:val="0"/>
          <w:iCs w:val="0"/>
          <w:caps w:val="0"/>
          <w:color w:val="333333"/>
          <w:spacing w:val="0"/>
          <w:sz w:val="28"/>
          <w:szCs w:val="28"/>
          <w:u w:val="single"/>
          <w:bdr w:val="none" w:color="auto" w:sz="0" w:space="0"/>
        </w:rPr>
        <w:t>https://yyxy.gsau.edu.cn/info/1007/7742.htm</w: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end"/>
      </w:r>
      <w:r>
        <w:rPr>
          <w:rFonts w:hint="eastAsia" w:ascii="仿宋" w:hAnsi="仿宋" w:eastAsia="仿宋" w:cs="仿宋"/>
          <w:i w:val="0"/>
          <w:iCs w:val="0"/>
          <w:caps w:val="0"/>
          <w:color w:val="000000"/>
          <w:spacing w:val="0"/>
          <w:sz w:val="16"/>
          <w:szCs w:val="16"/>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三、调剂程序</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1.我院将于2023年4月13日20:00-4月14日10:00 时间段内在中国研究生招生信息网（以下简称研招网）的“全国硕士研究生招生调剂服务系统”公布调剂专业信息，同时开通调剂系统。</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2.有调剂需求并符合调剂条件的考生，在我院公布的时间段内，登录调剂系统浏览本校发布的生源缺额信息，按研招网要求填报调剂至本校的志愿，不接受不通过研招网调剂系统的调剂申请。</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3.学院在相应时间段内，登录调剂系统浏览考生调剂信息，学院招生小组对调剂考生资格进行审查，并在规定时间内对符合调剂条件的考生发送复试通知。</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4.接到复试通知的考生必须在系统上确认同意参加学院调剂复试。</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5.学院将在调剂生复试后，及时公布复试结果，并确定调剂生是否被拟录取。</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6.拟录取的调剂生登录调剂系统确认同意接收我院的拟录取通知。</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四、资格审查</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考生资格审查时间及地点：2023年4月18日8:30-11:30。地点：甘肃农业大学园艺学院研究生办公室（农科楼519）。</w:t>
      </w:r>
    </w:p>
    <w:p>
      <w:pPr>
        <w:pStyle w:val="2"/>
        <w:keepNext w:val="0"/>
        <w:keepLines w:val="0"/>
        <w:widowControl/>
        <w:suppressLineNumbers w:val="0"/>
        <w:spacing w:before="0" w:beforeAutospacing="0" w:after="0" w:afterAutospacing="0" w:line="630" w:lineRule="atLeast"/>
        <w:ind w:left="0" w:right="0"/>
        <w:jc w:val="left"/>
      </w:pPr>
      <w:r>
        <w:rPr>
          <w:rFonts w:hint="default" w:ascii="fangsong_gb2312" w:hAnsi="fangsong_gb2312" w:eastAsia="fangsong_gb2312" w:cs="fangsong_gb2312"/>
          <w:i w:val="0"/>
          <w:iCs w:val="0"/>
          <w:caps w:val="0"/>
          <w:color w:val="000000"/>
          <w:spacing w:val="0"/>
          <w:sz w:val="28"/>
          <w:szCs w:val="28"/>
          <w:bdr w:val="none" w:color="auto" w:sz="0" w:space="0"/>
        </w:rPr>
        <w:t>   学院招生工作小组对调剂复试考生资格进行审查，与考生逐一签订《诚信复试承诺书》，确保提交材料真实和复试过程诚信。拟调剂并收到我院调剂复试通知的考生需要提交的复试资格审查材料请参考：园艺学院网页公布的《甘肃农业大学园艺学院2023年硕士研究生招生复试录取工作实施细则》。</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五、调剂志愿复试时间</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笔试时间：4 月18日（星期二）15:00-17:00</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加试时间：4 月18日（星期二）19:00-21:00</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面试时间：4 月19日（星期三） 8:00-12:00</w:t>
      </w:r>
    </w:p>
    <w:p>
      <w:pPr>
        <w:pStyle w:val="2"/>
        <w:keepNext w:val="0"/>
        <w:keepLines w:val="0"/>
        <w:widowControl/>
        <w:suppressLineNumbers w:val="0"/>
        <w:spacing w:before="0" w:beforeAutospacing="0" w:after="0" w:afterAutospacing="0" w:line="630" w:lineRule="atLeast"/>
        <w:ind w:left="0" w:right="0"/>
        <w:jc w:val="left"/>
      </w:pPr>
      <w:r>
        <w:rPr>
          <w:rFonts w:hint="default" w:ascii="fangsong_gb2312" w:hAnsi="fangsong_gb2312" w:eastAsia="fangsong_gb2312" w:cs="fangsong_gb2312"/>
          <w:i w:val="0"/>
          <w:iCs w:val="0"/>
          <w:caps w:val="0"/>
          <w:color w:val="000000"/>
          <w:spacing w:val="0"/>
          <w:sz w:val="28"/>
          <w:szCs w:val="28"/>
          <w:bdr w:val="none" w:color="auto" w:sz="0" w:space="0"/>
        </w:rPr>
        <w:t>   复试具体地点报到后另行通知，请4月18日在农科楼5楼公告栏查看。</w:t>
      </w:r>
    </w:p>
    <w:p>
      <w:pPr>
        <w:pStyle w:val="2"/>
        <w:keepNext w:val="0"/>
        <w:keepLines w:val="0"/>
        <w:widowControl/>
        <w:suppressLineNumbers w:val="0"/>
        <w:spacing w:before="0" w:beforeAutospacing="0" w:after="0" w:afterAutospacing="0" w:line="630" w:lineRule="atLeast"/>
        <w:ind w:left="0" w:right="0"/>
        <w:jc w:val="left"/>
      </w:pPr>
      <w:r>
        <w:rPr>
          <w:rFonts w:hint="default" w:ascii="fangsong_gb2312" w:hAnsi="fangsong_gb2312" w:eastAsia="fangsong_gb2312" w:cs="fangsong_gb2312"/>
          <w:i w:val="0"/>
          <w:iCs w:val="0"/>
          <w:caps w:val="0"/>
          <w:color w:val="000000"/>
          <w:spacing w:val="0"/>
          <w:sz w:val="28"/>
          <w:szCs w:val="28"/>
          <w:bdr w:val="none" w:color="auto" w:sz="0" w:space="0"/>
        </w:rPr>
        <w:t>   六、调剂注意事项</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1.学院开放调剂系统的持续时间为14个小时。不以考生提交调剂志愿的时间先后顺序等非学业水平标准作为遴选依据。</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2.考生调剂志愿锁定时间为24个小时。在锁定时间到达后，如学院未明确受理意见，锁定解除，考生可继续填报其他志愿。</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3.如有考生放弃拟录取资格或招生计划增补，则按递补录取规则补录。</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七、调剂复试成绩计算</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复试结束后，由学院复试工作小组计算复试成绩及入学总成绩排名，在复试结束后2个工作日内公布在学院网站上，公示时间不少于10个工作日。复试成绩及入学总成绩保留小数点后2位，计算公式如下：</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面试成绩=专业综合知识考核成绩（50分）+外语听力及口语成绩（50分）</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复试成绩=专业课笔试成绩×30% +面试成绩×70%</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入学总成绩=[（初试统考科目成绩之和）/2]×45%+[（初试自命题科目成绩之和）/3]×25%+复试成绩×30%（参加二门国家统考科目的专业）</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或入学总成绩=[（初试统考科目成绩之和）/3.5]×40%+[（初试自命题科目成绩）/1.5]×30%+复试成绩×30%（参加三门国家统考科目的专业）。</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考试结束，由复试小组计算复试成绩及入学总成绩排名，并在复试结束后2个工作日内公布在学院网站，公示时间不少于10个工作日。</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八、其他事宜</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其他未尽事宜具体参考《甘肃农业大学园艺学院2023年硕士研究生招生复试录取工作实施细则》。</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九、咨询与监督联系方式</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部门：甘肃农业大学研究生院招生办公室</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电话：0931-7631774</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邮箱：</w: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begin"/>
      </w:r>
      <w:r>
        <w:rPr>
          <w:rFonts w:hint="default" w:ascii="fangsong_gb2312" w:hAnsi="fangsong_gb2312" w:eastAsia="fangsong_gb2312" w:cs="fangsong_gb2312"/>
          <w:i w:val="0"/>
          <w:iCs w:val="0"/>
          <w:caps w:val="0"/>
          <w:color w:val="333333"/>
          <w:spacing w:val="0"/>
          <w:sz w:val="28"/>
          <w:szCs w:val="28"/>
          <w:u w:val="single"/>
          <w:bdr w:val="none" w:color="auto" w:sz="0" w:space="0"/>
        </w:rPr>
        <w:instrText xml:space="preserve"> HYPERLINK "mailto:yzb@gsau.edu.cn" </w:instrTex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separate"/>
      </w:r>
      <w:r>
        <w:rPr>
          <w:rStyle w:val="6"/>
          <w:rFonts w:hint="default" w:ascii="fangsong_gb2312" w:hAnsi="fangsong_gb2312" w:eastAsia="fangsong_gb2312" w:cs="fangsong_gb2312"/>
          <w:i w:val="0"/>
          <w:iCs w:val="0"/>
          <w:caps w:val="0"/>
          <w:color w:val="333333"/>
          <w:spacing w:val="0"/>
          <w:sz w:val="28"/>
          <w:szCs w:val="28"/>
          <w:u w:val="single"/>
          <w:bdr w:val="none" w:color="auto" w:sz="0" w:space="0"/>
        </w:rPr>
        <w:t>yzb@gsau.edu.cn</w: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end"/>
      </w:r>
      <w:r>
        <w:rPr>
          <w:rFonts w:hint="eastAsia" w:ascii="仿宋" w:hAnsi="仿宋" w:eastAsia="仿宋" w:cs="仿宋"/>
          <w:i w:val="0"/>
          <w:iCs w:val="0"/>
          <w:caps w:val="0"/>
          <w:color w:val="000000"/>
          <w:spacing w:val="0"/>
          <w:sz w:val="16"/>
          <w:szCs w:val="16"/>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地址：甘肃省兰州市安宁区营门村1号甘肃农业大学躬行楼 604 室</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学院：甘肃农业大学园艺学院</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电话：0931-7632465</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邮箱：</w: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begin"/>
      </w:r>
      <w:r>
        <w:rPr>
          <w:rFonts w:hint="default" w:ascii="fangsong_gb2312" w:hAnsi="fangsong_gb2312" w:eastAsia="fangsong_gb2312" w:cs="fangsong_gb2312"/>
          <w:i w:val="0"/>
          <w:iCs w:val="0"/>
          <w:caps w:val="0"/>
          <w:color w:val="333333"/>
          <w:spacing w:val="0"/>
          <w:sz w:val="28"/>
          <w:szCs w:val="28"/>
          <w:u w:val="single"/>
          <w:bdr w:val="none" w:color="auto" w:sz="0" w:space="0"/>
        </w:rPr>
        <w:instrText xml:space="preserve"> HYPERLINK "mailto:1536615726@qq.com" </w:instrTex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separate"/>
      </w:r>
      <w:r>
        <w:rPr>
          <w:rStyle w:val="6"/>
          <w:rFonts w:hint="default" w:ascii="fangsong_gb2312" w:hAnsi="fangsong_gb2312" w:eastAsia="fangsong_gb2312" w:cs="fangsong_gb2312"/>
          <w:i w:val="0"/>
          <w:iCs w:val="0"/>
          <w:caps w:val="0"/>
          <w:color w:val="333333"/>
          <w:spacing w:val="0"/>
          <w:sz w:val="28"/>
          <w:szCs w:val="28"/>
          <w:u w:val="single"/>
          <w:bdr w:val="none" w:color="auto" w:sz="0" w:space="0"/>
        </w:rPr>
        <w:t>1536615726@qq.com</w:t>
      </w:r>
      <w:r>
        <w:rPr>
          <w:rFonts w:hint="default" w:ascii="fangsong_gb2312" w:hAnsi="fangsong_gb2312" w:eastAsia="fangsong_gb2312" w:cs="fangsong_gb2312"/>
          <w:i w:val="0"/>
          <w:iCs w:val="0"/>
          <w:caps w:val="0"/>
          <w:color w:val="333333"/>
          <w:spacing w:val="0"/>
          <w:sz w:val="28"/>
          <w:szCs w:val="28"/>
          <w:u w:val="single"/>
          <w:bdr w:val="none" w:color="auto" w:sz="0" w:space="0"/>
        </w:rPr>
        <w:fldChar w:fldCharType="end"/>
      </w:r>
      <w:r>
        <w:rPr>
          <w:rFonts w:hint="eastAsia" w:ascii="仿宋" w:hAnsi="仿宋" w:eastAsia="仿宋" w:cs="仿宋"/>
          <w:i w:val="0"/>
          <w:iCs w:val="0"/>
          <w:caps w:val="0"/>
          <w:color w:val="000000"/>
          <w:spacing w:val="0"/>
          <w:sz w:val="16"/>
          <w:szCs w:val="16"/>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地址：甘肃农业大学农科楼519室</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甘肃农业大学园艺学院</w:t>
      </w:r>
      <w:r>
        <w:rPr>
          <w:rFonts w:hint="default" w:ascii="fangsong_gb2312" w:hAnsi="fangsong_gb2312" w:eastAsia="fangsong_gb2312" w:cs="fangsong_gb2312"/>
          <w:i w:val="0"/>
          <w:iCs w:val="0"/>
          <w:caps w:val="0"/>
          <w:color w:val="000000"/>
          <w:spacing w:val="0"/>
          <w:sz w:val="28"/>
          <w:szCs w:val="28"/>
          <w:bdr w:val="none" w:color="auto" w:sz="0" w:space="0"/>
        </w:rPr>
        <w:br w:type="textWrapping"/>
      </w:r>
      <w:r>
        <w:rPr>
          <w:rFonts w:hint="default" w:ascii="fangsong_gb2312" w:hAnsi="fangsong_gb2312" w:eastAsia="fangsong_gb2312" w:cs="fangsong_gb2312"/>
          <w:i w:val="0"/>
          <w:iCs w:val="0"/>
          <w:caps w:val="0"/>
          <w:color w:val="000000"/>
          <w:spacing w:val="0"/>
          <w:sz w:val="28"/>
          <w:szCs w:val="28"/>
          <w:bdr w:val="none" w:color="auto" w:sz="0" w:space="0"/>
        </w:rPr>
        <w:t>                                           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2011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2023-05-20T02:43:23Z</dcterms:created>
  <dc:creator>DELL</dc:creator>
  <cp:lastModifiedBy>曾经的那个老吴</cp:lastModifiedBy>
  <dcterms:modified xsi:type="dcterms:W3CDTF">2023-05-20T02:43:25Z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8F88BDA5E4CF4AF9851464E7053482A7_12</vt:lpwstr>
  </property>
</Properties>
</file>