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D4D1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D4D15"/>
          <w:spacing w:val="0"/>
          <w:kern w:val="0"/>
          <w:sz w:val="24"/>
          <w:szCs w:val="24"/>
          <w:lang w:val="en-US" w:eastAsia="zh-CN" w:bidi="ar"/>
        </w:rPr>
        <w:t>2023年招收攻读硕士研究生成绩公示（第二次调剂）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：2023-04-12 信息员： 浏览次数：548</w:t>
      </w:r>
    </w:p>
    <w:tbl>
      <w:tblPr>
        <w:tblW w:w="930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8"/>
        <w:gridCol w:w="873"/>
        <w:gridCol w:w="1480"/>
        <w:gridCol w:w="1115"/>
        <w:gridCol w:w="862"/>
        <w:gridCol w:w="861"/>
        <w:gridCol w:w="862"/>
        <w:gridCol w:w="1038"/>
        <w:gridCol w:w="685"/>
        <w:gridCol w:w="508"/>
        <w:gridCol w:w="50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93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风景园林与艺术学院2023年招收攻读硕士研究生成绩（调剂生）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陈美芬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101083210011795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5B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2023-05-14T06:32:06Z</dcterms:created>
  <dc:creator>86188</dc:creator>
  <cp:lastModifiedBy>随风而动</cp:lastModifiedBy>
  <dcterms:modified xsi:type="dcterms:W3CDTF">2023-05-14T06:32:08Z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