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450" w:lineRule="atLeast"/>
        <w:jc w:val="center"/>
        <w:rPr>
          <w:b/>
          <w:color w:val="0D4D15"/>
          <w:sz w:val="24"/>
          <w:szCs w:val="24"/>
        </w:rPr>
      </w:pPr>
      <w:r>
        <w:rPr>
          <w:rFonts w:ascii="宋体" w:hAnsi="宋体" w:eastAsia="宋体" w:cs="宋体"/>
          <w:b/>
          <w:color w:val="0D4D15"/>
          <w:kern w:val="0"/>
          <w:sz w:val="24"/>
          <w:szCs w:val="24"/>
          <w:lang w:val="en-US" w:eastAsia="zh-CN" w:bidi="ar"/>
        </w:rPr>
        <w:t>2023年风景园林与艺术学院硕士研究生（第二次调剂）拟录取名单公示</w:t>
      </w:r>
    </w:p>
    <w:p>
      <w:pPr>
        <w:keepNext w:val="0"/>
        <w:keepLines w:val="0"/>
        <w:widowControl/>
        <w:suppressLineNumbers w:val="0"/>
        <w:pBdr>
          <w:bottom w:val="single" w:color="DDDDDD" w:sz="4" w:space="0"/>
        </w:pBdr>
        <w:spacing w:line="240" w:lineRule="atLeast"/>
        <w:jc w:val="center"/>
        <w:rPr>
          <w:sz w:val="14"/>
          <w:szCs w:val="14"/>
        </w:rPr>
      </w:pPr>
      <w:r>
        <w:rPr>
          <w:rFonts w:ascii="宋体" w:hAnsi="宋体" w:eastAsia="宋体" w:cs="宋体"/>
          <w:kern w:val="0"/>
          <w:sz w:val="14"/>
          <w:szCs w:val="14"/>
          <w:lang w:val="en-US" w:eastAsia="zh-CN" w:bidi="ar"/>
        </w:rPr>
        <w:t>发布时间 ：2023-04-12 信息员： 浏览次数：838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rPr>
          <w:rFonts w:hint="eastAsia" w:ascii="微软雅黑" w:hAnsi="微软雅黑" w:eastAsia="微软雅黑" w:cs="微软雅黑"/>
          <w:i w:val="0"/>
          <w:caps w:val="0"/>
          <w:color w:val="333333"/>
          <w:spacing w:val="0"/>
          <w:sz w:val="12"/>
          <w:szCs w:val="12"/>
        </w:rPr>
      </w:pPr>
      <w:r>
        <w:rPr>
          <w:rFonts w:ascii="微软雅黑" w:hAnsi="微软雅黑" w:eastAsia="微软雅黑" w:cs="微软雅黑"/>
          <w:i w:val="0"/>
          <w:caps w:val="0"/>
          <w:color w:val="333333"/>
          <w:spacing w:val="0"/>
          <w:sz w:val="18"/>
          <w:szCs w:val="18"/>
          <w:bdr w:val="none" w:color="auto" w:sz="0" w:space="0"/>
          <w:shd w:val="clear" w:fill="FFFFFF"/>
        </w:rPr>
        <w:t>根据《福建农林大学</w:t>
      </w:r>
      <w:r>
        <w:rPr>
          <w:rFonts w:hint="eastAsia" w:ascii="微软雅黑" w:hAnsi="微软雅黑" w:eastAsia="微软雅黑" w:cs="微软雅黑"/>
          <w:i w:val="0"/>
          <w:caps w:val="0"/>
          <w:color w:val="333333"/>
          <w:spacing w:val="0"/>
          <w:sz w:val="18"/>
          <w:szCs w:val="18"/>
          <w:bdr w:val="none" w:color="auto" w:sz="0" w:space="0"/>
          <w:shd w:val="clear" w:fill="FFFFFF"/>
        </w:rPr>
        <w:t>2023年招收攻读硕士学位研究生复试录取办法》和《福建农林大学风景园林与艺术学院2023年硕士研究生招生调剂办法》等规定，经初试和复试，我院相关调剂专业按照考生总成绩排名，从高分到低分依次拟录取。经学院党政联席会议研究通过，现将我院2023年硕士研究生（第二批调剂）拟录取名单予以公示。</w:t>
      </w:r>
    </w:p>
    <w:tbl>
      <w:tblPr>
        <w:tblW w:w="9450" w:type="dxa"/>
        <w:tblInd w:w="0" w:type="dxa"/>
        <w:shd w:val="clear" w:color="auto" w:fill="FFFFFF"/>
        <w:tblLayout w:type="autofit"/>
        <w:tblCellMar>
          <w:top w:w="15" w:type="dxa"/>
          <w:left w:w="15" w:type="dxa"/>
          <w:bottom w:w="15" w:type="dxa"/>
          <w:right w:w="15" w:type="dxa"/>
        </w:tblCellMar>
      </w:tblPr>
      <w:tblGrid>
        <w:gridCol w:w="460"/>
        <w:gridCol w:w="626"/>
        <w:gridCol w:w="1205"/>
        <w:gridCol w:w="859"/>
        <w:gridCol w:w="780"/>
        <w:gridCol w:w="780"/>
        <w:gridCol w:w="780"/>
        <w:gridCol w:w="940"/>
        <w:gridCol w:w="620"/>
        <w:gridCol w:w="460"/>
        <w:gridCol w:w="1940"/>
      </w:tblGrid>
      <w:tr>
        <w:tblPrEx>
          <w:shd w:val="clear" w:color="auto" w:fill="FFFFFF"/>
          <w:tblCellMar>
            <w:top w:w="15" w:type="dxa"/>
            <w:left w:w="15" w:type="dxa"/>
            <w:bottom w:w="15" w:type="dxa"/>
            <w:right w:w="15" w:type="dxa"/>
          </w:tblCellMar>
        </w:tblPrEx>
        <w:trPr>
          <w:trHeight w:val="390" w:hRule="atLeast"/>
        </w:trPr>
        <w:tc>
          <w:tcPr>
            <w:tcW w:w="9450" w:type="dxa"/>
            <w:gridSpan w:val="11"/>
            <w:tcBorders>
              <w:top w:val="nil"/>
              <w:left w:val="nil"/>
              <w:bottom w:val="nil"/>
              <w:right w:val="nil"/>
            </w:tcBorders>
            <w:shd w:val="clear" w:color="auto" w:fill="FFFFFF"/>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i w:val="0"/>
                <w:caps w:val="0"/>
                <w:color w:val="333333"/>
                <w:spacing w:val="0"/>
                <w:kern w:val="0"/>
                <w:sz w:val="19"/>
                <w:szCs w:val="19"/>
                <w:bdr w:val="none" w:color="auto" w:sz="0" w:space="0"/>
                <w:lang w:val="en-US" w:eastAsia="zh-CN" w:bidi="ar"/>
              </w:rPr>
              <w:t>风景园林与艺术学院2023年招收攻读硕士研究生拟录取名单（第二次调剂）</w:t>
            </w:r>
          </w:p>
        </w:tc>
      </w:tr>
      <w:tr>
        <w:tblPrEx>
          <w:shd w:val="clear" w:color="auto" w:fill="FFFFFF"/>
          <w:tblCellMar>
            <w:top w:w="15" w:type="dxa"/>
            <w:left w:w="15" w:type="dxa"/>
            <w:bottom w:w="15" w:type="dxa"/>
            <w:right w:w="15" w:type="dxa"/>
          </w:tblCellMar>
        </w:tblPrEx>
        <w:trPr>
          <w:trHeight w:val="2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序号</w:t>
            </w:r>
          </w:p>
        </w:tc>
        <w:tc>
          <w:tcPr>
            <w:tcW w:w="0" w:type="auto"/>
            <w:vMerge w:val="restart"/>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姓名</w:t>
            </w:r>
          </w:p>
        </w:tc>
        <w:tc>
          <w:tcPr>
            <w:tcW w:w="0" w:type="auto"/>
            <w:vMerge w:val="restart"/>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考生编号</w:t>
            </w:r>
          </w:p>
        </w:tc>
        <w:tc>
          <w:tcPr>
            <w:tcW w:w="0" w:type="auto"/>
            <w:vMerge w:val="restart"/>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报考专业</w:t>
            </w:r>
          </w:p>
        </w:tc>
        <w:tc>
          <w:tcPr>
            <w:tcW w:w="0" w:type="auto"/>
            <w:vMerge w:val="restart"/>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初试成绩</w:t>
            </w:r>
          </w:p>
        </w:tc>
        <w:tc>
          <w:tcPr>
            <w:tcW w:w="0" w:type="auto"/>
            <w:gridSpan w:val="3"/>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复试成绩</w:t>
            </w:r>
          </w:p>
        </w:tc>
        <w:tc>
          <w:tcPr>
            <w:tcW w:w="0" w:type="auto"/>
            <w:vMerge w:val="restart"/>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总成绩</w:t>
            </w:r>
          </w:p>
        </w:tc>
        <w:tc>
          <w:tcPr>
            <w:tcW w:w="0" w:type="auto"/>
            <w:vMerge w:val="restart"/>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排序</w:t>
            </w:r>
          </w:p>
        </w:tc>
        <w:tc>
          <w:tcPr>
            <w:tcW w:w="0" w:type="auto"/>
            <w:vMerge w:val="restart"/>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备注</w:t>
            </w:r>
          </w:p>
        </w:tc>
      </w:tr>
      <w:tr>
        <w:tblPrEx>
          <w:shd w:val="clear" w:color="auto" w:fill="FFFFFF"/>
          <w:tblCellMar>
            <w:top w:w="15" w:type="dxa"/>
            <w:left w:w="15" w:type="dxa"/>
            <w:bottom w:w="15" w:type="dxa"/>
            <w:right w:w="15" w:type="dxa"/>
          </w:tblCellMar>
        </w:tblPrEx>
        <w:trPr>
          <w:trHeight w:val="3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c>
          <w:tcPr>
            <w:tcW w:w="0" w:type="auto"/>
            <w:vMerge w:val="continue"/>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c>
          <w:tcPr>
            <w:tcW w:w="0" w:type="auto"/>
            <w:vMerge w:val="continue"/>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c>
          <w:tcPr>
            <w:tcW w:w="0" w:type="auto"/>
            <w:vMerge w:val="continue"/>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c>
          <w:tcPr>
            <w:tcW w:w="0" w:type="auto"/>
            <w:vMerge w:val="continue"/>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笔试成绩</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面试成绩</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微软雅黑" w:hAnsi="微软雅黑" w:eastAsia="微软雅黑" w:cs="微软雅黑"/>
                <w:b/>
                <w:i w:val="0"/>
                <w:caps w:val="0"/>
                <w:color w:val="333333"/>
                <w:spacing w:val="0"/>
                <w:kern w:val="0"/>
                <w:sz w:val="16"/>
                <w:szCs w:val="16"/>
                <w:bdr w:val="none" w:color="auto" w:sz="0" w:space="0"/>
                <w:lang w:val="en-US" w:eastAsia="zh-CN" w:bidi="ar"/>
              </w:rPr>
              <w:t>复试总成绩</w:t>
            </w:r>
          </w:p>
        </w:tc>
        <w:tc>
          <w:tcPr>
            <w:tcW w:w="0" w:type="auto"/>
            <w:vMerge w:val="continue"/>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c>
          <w:tcPr>
            <w:tcW w:w="0" w:type="auto"/>
            <w:vMerge w:val="continue"/>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c>
          <w:tcPr>
            <w:tcW w:w="0" w:type="auto"/>
            <w:vMerge w:val="continue"/>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rPr>
                <w:rFonts w:hint="eastAsia" w:ascii="微软雅黑" w:hAnsi="微软雅黑" w:eastAsia="微软雅黑" w:cs="微软雅黑"/>
                <w:i w:val="0"/>
                <w:caps w:val="0"/>
                <w:color w:val="333333"/>
                <w:spacing w:val="0"/>
                <w:sz w:val="12"/>
                <w:szCs w:val="12"/>
              </w:rPr>
            </w:pPr>
          </w:p>
        </w:tc>
      </w:tr>
      <w:tr>
        <w:tblPrEx>
          <w:shd w:val="clear" w:color="auto" w:fill="FFFFFF"/>
          <w:tblCellMar>
            <w:top w:w="15" w:type="dxa"/>
            <w:left w:w="15" w:type="dxa"/>
            <w:bottom w:w="15" w:type="dxa"/>
            <w:right w:w="15" w:type="dxa"/>
          </w:tblCellMar>
        </w:tblPrEx>
        <w:trPr>
          <w:trHeight w:val="1040" w:hRule="atLeast"/>
        </w:trPr>
        <w:tc>
          <w:tcPr>
            <w:tcW w:w="0" w:type="auto"/>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1</w:t>
            </w:r>
          </w:p>
        </w:tc>
        <w:tc>
          <w:tcPr>
            <w:tcW w:w="71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4"/>
                <w:szCs w:val="14"/>
                <w:bdr w:val="none" w:color="auto" w:sz="0" w:space="0"/>
                <w:lang w:val="en-US" w:eastAsia="zh-CN" w:bidi="ar"/>
              </w:rPr>
              <w:t>陈美芬</w:t>
            </w:r>
          </w:p>
        </w:tc>
        <w:tc>
          <w:tcPr>
            <w:tcW w:w="120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Calibri" w:hAnsi="Calibri" w:eastAsia="Calibri" w:cs="Calibri"/>
                <w:i w:val="0"/>
                <w:caps w:val="0"/>
                <w:color w:val="333333"/>
                <w:spacing w:val="0"/>
                <w:kern w:val="0"/>
                <w:sz w:val="14"/>
                <w:szCs w:val="14"/>
                <w:bdr w:val="none" w:color="auto" w:sz="0" w:space="0"/>
                <w:lang w:val="en-US" w:eastAsia="zh-CN" w:bidi="ar"/>
              </w:rPr>
              <w:t>101083210011795</w:t>
            </w:r>
          </w:p>
        </w:tc>
        <w:tc>
          <w:tcPr>
            <w:tcW w:w="90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4"/>
                <w:szCs w:val="14"/>
                <w:bdr w:val="none" w:color="auto" w:sz="0" w:space="0"/>
                <w:lang w:val="en-US" w:eastAsia="zh-CN" w:bidi="ar"/>
              </w:rPr>
              <w:t>设计学</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368</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81.40</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80.98</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76.55</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1</w:t>
            </w:r>
          </w:p>
        </w:tc>
        <w:tc>
          <w:tcPr>
            <w:tcW w:w="0" w:type="auto"/>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环境设计及理论方向拟录取</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rPr>
          <w:rFonts w:hint="eastAsia" w:ascii="微软雅黑" w:hAnsi="微软雅黑" w:eastAsia="微软雅黑" w:cs="微软雅黑"/>
          <w:i w:val="0"/>
          <w:caps w:val="0"/>
          <w:color w:val="333333"/>
          <w:spacing w:val="0"/>
          <w:sz w:val="12"/>
          <w:szCs w:val="1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rPr>
          <w:rFonts w:hint="eastAsia"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333333"/>
          <w:spacing w:val="0"/>
          <w:sz w:val="18"/>
          <w:szCs w:val="18"/>
          <w:bdr w:val="none" w:color="auto" w:sz="0" w:space="0"/>
          <w:shd w:val="clear" w:fill="FFFFFF"/>
        </w:rPr>
        <w:t>备注：如遇招生指标增加、已拟录取考生放弃或体检不合格等因素不能拟录取，则从同一批次同方向中未拟录取的复试考生中按总成绩从高到低补充拟录取（若总成绩相同，则按初试总分成绩高分者优先；若总成绩相同，且初试总分成绩相同，则初试英语成绩高者优先；若总成绩相同、初试总分成绩且初试英语成绩相同，则初试业务课2成绩高者优先）；拟录取考生须符合国家及学校相关规定的其他录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rPr>
          <w:rFonts w:hint="eastAsia"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333333"/>
          <w:spacing w:val="0"/>
          <w:sz w:val="18"/>
          <w:szCs w:val="18"/>
          <w:bdr w:val="none" w:color="auto" w:sz="0" w:space="0"/>
          <w:shd w:val="clear" w:fill="FFFFFF"/>
        </w:rPr>
        <w:t>公示时间2023年4月12日至4月17日。如有异议请在公示期内如实反映。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rPr>
          <w:rFonts w:hint="eastAsia"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333333"/>
          <w:spacing w:val="0"/>
          <w:sz w:val="18"/>
          <w:szCs w:val="18"/>
          <w:bdr w:val="none" w:color="auto" w:sz="0" w:space="0"/>
          <w:shd w:val="clear" w:fill="FFFFFF"/>
        </w:rPr>
        <w:t>公示电话：0591-86397014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rPr>
          <w:rFonts w:hint="eastAsia"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333333"/>
          <w:spacing w:val="0"/>
          <w:sz w:val="18"/>
          <w:szCs w:val="18"/>
          <w:bdr w:val="none" w:color="auto" w:sz="0" w:space="0"/>
          <w:shd w:val="clear" w:fill="FFFFFF"/>
        </w:rPr>
        <w:t>联系人：陈老师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rPr>
          <w:rFonts w:hint="eastAsia"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333333"/>
          <w:spacing w:val="0"/>
          <w:sz w:val="18"/>
          <w:szCs w:val="18"/>
          <w:bdr w:val="none" w:color="auto" w:sz="0" w:space="0"/>
          <w:shd w:val="clear" w:fill="FFFFFF"/>
        </w:rPr>
        <w:t>学院纪委邮箱：jilv2022@126.com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right"/>
        <w:rPr>
          <w:rFonts w:hint="eastAsia"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333333"/>
          <w:spacing w:val="0"/>
          <w:sz w:val="18"/>
          <w:szCs w:val="18"/>
          <w:bdr w:val="none" w:color="auto" w:sz="0" w:space="0"/>
          <w:shd w:val="clear" w:fill="FFFFFF"/>
        </w:rPr>
        <w:t>                    福建农林大学风景园林与艺术学院</w:t>
      </w:r>
    </w:p>
    <w:p>
      <w:pPr>
        <w:keepNext w:val="0"/>
        <w:keepLines w:val="0"/>
        <w:widowControl/>
        <w:suppressLineNumbers w:val="0"/>
        <w:pBdr>
          <w:top w:val="none" w:color="auto" w:sz="0" w:space="0"/>
          <w:left w:val="none" w:color="auto" w:sz="0" w:space="0"/>
          <w:bottom w:val="none" w:color="auto" w:sz="0" w:space="0"/>
          <w:right w:val="none" w:color="auto" w:sz="0" w:space="0"/>
        </w:pBdr>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10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2023-05-14T06:31:56Z</dcterms:created>
  <dc:creator>86188</dc:creator>
  <cp:lastModifiedBy>随风而动</cp:lastModifiedBy>
  <dcterms:modified xsi:type="dcterms:W3CDTF">2023-05-14T06:31:57Z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