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600" w:lineRule="atLeast"/>
        <w:ind w:left="0" w:right="0"/>
        <w:jc w:val="center"/>
        <w:rPr>
          <w:rFonts w:ascii="微软雅黑" w:hAnsi="微软雅黑" w:eastAsia="微软雅黑" w:cs="微软雅黑"/>
          <w:b/>
          <w:bCs/>
          <w:color w:val="1964A9"/>
          <w:sz w:val="20"/>
          <w:szCs w:val="20"/>
        </w:rPr>
      </w:pPr>
      <w:r>
        <w:rPr>
          <w:rFonts w:hint="eastAsia" w:ascii="微软雅黑" w:hAnsi="微软雅黑" w:eastAsia="微软雅黑" w:cs="微软雅黑"/>
          <w:b/>
          <w:bCs/>
          <w:color w:val="1964A9"/>
          <w:sz w:val="20"/>
          <w:szCs w:val="20"/>
          <w:bdr w:val="none" w:color="auto" w:sz="0" w:space="0"/>
        </w:rPr>
        <w:t>医学技术与工程学院2023年硕士研究生招生复试调剂公告2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微软雅黑" w:hAnsi="微软雅黑" w:eastAsia="微软雅黑" w:cs="微软雅黑"/>
          <w:color w:val="3C3C3C"/>
          <w:sz w:val="12"/>
          <w:szCs w:val="12"/>
        </w:rPr>
      </w:pPr>
      <w:r>
        <w:rPr>
          <w:rFonts w:hint="eastAsia" w:ascii="微软雅黑" w:hAnsi="微软雅黑" w:eastAsia="微软雅黑" w:cs="微软雅黑"/>
          <w:color w:val="787878"/>
          <w:sz w:val="13"/>
          <w:szCs w:val="13"/>
          <w:bdr w:val="none" w:color="auto" w:sz="0" w:space="0"/>
        </w:rPr>
        <w:t>发布时间：2023-04-16浏览次数：3993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600" w:lineRule="atLeast"/>
        <w:ind w:left="0" w:right="0"/>
        <w:jc w:val="left"/>
        <w:rPr>
          <w:rFonts w:hint="eastAsia" w:ascii="微软雅黑" w:hAnsi="微软雅黑" w:eastAsia="微软雅黑" w:cs="微软雅黑"/>
          <w:color w:val="333333"/>
          <w:sz w:val="14"/>
          <w:szCs w:val="14"/>
        </w:rPr>
      </w:pPr>
      <w:r>
        <w:rPr>
          <w:rFonts w:ascii="仿宋_gb2312" w:hAnsi="仿宋_gb2312" w:eastAsia="仿宋_gb2312" w:cs="仿宋_gb2312"/>
          <w:color w:val="333333"/>
          <w:kern w:val="0"/>
          <w:sz w:val="21"/>
          <w:szCs w:val="21"/>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600" w:lineRule="atLeast"/>
        <w:ind w:left="0" w:right="0" w:firstLine="0"/>
        <w:jc w:val="left"/>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4"/>
          <w:szCs w:val="14"/>
          <w:bdr w:val="none" w:color="auto" w:sz="0" w:space="0"/>
          <w:shd w:val="clear" w:fill="FFFFFF"/>
          <w:lang w:val="en-US" w:eastAsia="zh-CN" w:bidi="ar"/>
        </w:rPr>
        <w:t>    </w:t>
      </w:r>
      <w:r>
        <w:rPr>
          <w:rFonts w:hint="default" w:ascii="仿宋_gb2312" w:hAnsi="仿宋_gb2312" w:eastAsia="仿宋_gb2312" w:cs="仿宋_gb2312"/>
          <w:color w:val="333333"/>
          <w:kern w:val="0"/>
          <w:sz w:val="21"/>
          <w:szCs w:val="21"/>
          <w:bdr w:val="none" w:color="auto" w:sz="0" w:space="0"/>
          <w:shd w:val="clear" w:fill="FFFFFF"/>
          <w:lang w:val="en-US" w:eastAsia="zh-CN" w:bidi="ar"/>
        </w:rPr>
        <w:t>我院</w:t>
      </w:r>
      <w:r>
        <w:rPr>
          <w:rStyle w:val="7"/>
          <w:rFonts w:hint="default" w:ascii="仿宋_gb2312" w:hAnsi="仿宋_gb2312" w:eastAsia="仿宋_gb2312" w:cs="仿宋_gb2312"/>
          <w:color w:val="333333"/>
          <w:kern w:val="0"/>
          <w:sz w:val="21"/>
          <w:szCs w:val="21"/>
          <w:bdr w:val="none" w:color="auto" w:sz="0" w:space="0"/>
          <w:shd w:val="clear" w:fill="FFFFFF"/>
          <w:lang w:val="en-US" w:eastAsia="zh-CN" w:bidi="ar"/>
        </w:rPr>
        <w:t>生物与医药</w:t>
      </w:r>
      <w:r>
        <w:rPr>
          <w:rFonts w:hint="default" w:ascii="仿宋_gb2312" w:hAnsi="仿宋_gb2312" w:eastAsia="仿宋_gb2312" w:cs="仿宋_gb2312"/>
          <w:color w:val="333333"/>
          <w:kern w:val="0"/>
          <w:sz w:val="21"/>
          <w:szCs w:val="21"/>
          <w:bdr w:val="none" w:color="auto" w:sz="0" w:space="0"/>
          <w:shd w:val="clear" w:fill="FFFFFF"/>
          <w:lang w:val="en-US" w:eastAsia="zh-CN" w:bidi="ar"/>
        </w:rPr>
        <w:t>专业尚可接收校外考生调剂，现将调剂复试工作有关事项公告如下：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    一、拟接收调剂的专业、研究方向、名额详见附表。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二、调剂基本要求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1.考生应为普通高等学校全日制本科毕业生（含应届生）。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2.符合我校2023年攻读硕士学位研究生招生章程及专业目录中生物与医药专业报考条件。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3.初试成绩必须符合国家A类地区考生进入</w:t>
      </w:r>
      <w:r>
        <w:rPr>
          <w:rStyle w:val="7"/>
          <w:rFonts w:hint="default" w:ascii="仿宋_gb2312" w:hAnsi="仿宋_gb2312" w:eastAsia="仿宋_gb2312" w:cs="仿宋_gb2312"/>
          <w:color w:val="333333"/>
          <w:kern w:val="0"/>
          <w:sz w:val="21"/>
          <w:szCs w:val="21"/>
          <w:bdr w:val="none" w:color="auto" w:sz="0" w:space="0"/>
          <w:shd w:val="clear" w:fill="FFFFFF"/>
          <w:lang w:val="en-US" w:eastAsia="zh-CN" w:bidi="ar"/>
        </w:rPr>
        <w:t>生物与医药</w:t>
      </w:r>
      <w:r>
        <w:rPr>
          <w:rFonts w:hint="default" w:ascii="仿宋_gb2312" w:hAnsi="仿宋_gb2312" w:eastAsia="仿宋_gb2312" w:cs="仿宋_gb2312"/>
          <w:color w:val="333333"/>
          <w:kern w:val="0"/>
          <w:sz w:val="21"/>
          <w:szCs w:val="21"/>
          <w:bdr w:val="none" w:color="auto" w:sz="0" w:space="0"/>
          <w:shd w:val="clear" w:fill="FFFFFF"/>
          <w:lang w:val="en-US" w:eastAsia="zh-CN" w:bidi="ar"/>
        </w:rPr>
        <w:t>专业复试的基本要求，即总分</w:t>
      </w:r>
      <w:r>
        <w:rPr>
          <w:rFonts w:ascii="仿宋" w:hAnsi="仿宋" w:eastAsia="仿宋" w:cs="仿宋"/>
          <w:color w:val="333333"/>
          <w:kern w:val="0"/>
          <w:sz w:val="21"/>
          <w:szCs w:val="21"/>
          <w:bdr w:val="none" w:color="auto" w:sz="0" w:space="0"/>
          <w:shd w:val="clear" w:fill="FFFFFF"/>
          <w:lang w:val="en-US" w:eastAsia="zh-CN" w:bidi="ar"/>
        </w:rPr>
        <w:t>≧</w:t>
      </w:r>
      <w:r>
        <w:rPr>
          <w:rFonts w:hint="default" w:ascii="仿宋_gb2312" w:hAnsi="仿宋_gb2312" w:eastAsia="仿宋_gb2312" w:cs="仿宋_gb2312"/>
          <w:color w:val="333333"/>
          <w:kern w:val="0"/>
          <w:sz w:val="21"/>
          <w:szCs w:val="21"/>
          <w:bdr w:val="none" w:color="auto" w:sz="0" w:space="0"/>
          <w:shd w:val="clear" w:fill="FFFFFF"/>
          <w:lang w:val="en-US" w:eastAsia="zh-CN" w:bidi="ar"/>
        </w:rPr>
        <w:t>273，单科（满分=100）</w:t>
      </w:r>
      <w:r>
        <w:rPr>
          <w:rFonts w:hint="eastAsia" w:ascii="仿宋" w:hAnsi="仿宋" w:eastAsia="仿宋" w:cs="仿宋"/>
          <w:color w:val="333333"/>
          <w:kern w:val="0"/>
          <w:sz w:val="21"/>
          <w:szCs w:val="21"/>
          <w:bdr w:val="none" w:color="auto" w:sz="0" w:space="0"/>
          <w:shd w:val="clear" w:fill="FFFFFF"/>
          <w:lang w:val="en-US" w:eastAsia="zh-CN" w:bidi="ar"/>
        </w:rPr>
        <w:t>≧</w:t>
      </w:r>
      <w:r>
        <w:rPr>
          <w:rFonts w:hint="default" w:ascii="仿宋_gb2312" w:hAnsi="仿宋_gb2312" w:eastAsia="仿宋_gb2312" w:cs="仿宋_gb2312"/>
          <w:color w:val="333333"/>
          <w:kern w:val="0"/>
          <w:sz w:val="21"/>
          <w:szCs w:val="21"/>
          <w:bdr w:val="none" w:color="auto" w:sz="0" w:space="0"/>
          <w:shd w:val="clear" w:fill="FFFFFF"/>
          <w:lang w:val="en-US" w:eastAsia="zh-CN" w:bidi="ar"/>
        </w:rPr>
        <w:t>38，单科（满分＞100）</w:t>
      </w:r>
      <w:r>
        <w:rPr>
          <w:rFonts w:hint="eastAsia" w:ascii="仿宋" w:hAnsi="仿宋" w:eastAsia="仿宋" w:cs="仿宋"/>
          <w:color w:val="333333"/>
          <w:kern w:val="0"/>
          <w:sz w:val="21"/>
          <w:szCs w:val="21"/>
          <w:bdr w:val="none" w:color="auto" w:sz="0" w:space="0"/>
          <w:shd w:val="clear" w:fill="FFFFFF"/>
          <w:lang w:val="en-US" w:eastAsia="zh-CN" w:bidi="ar"/>
        </w:rPr>
        <w:t>≧</w:t>
      </w:r>
      <w:r>
        <w:rPr>
          <w:rFonts w:hint="default" w:ascii="仿宋_gb2312" w:hAnsi="仿宋_gb2312" w:eastAsia="仿宋_gb2312" w:cs="仿宋_gb2312"/>
          <w:color w:val="333333"/>
          <w:kern w:val="0"/>
          <w:sz w:val="21"/>
          <w:szCs w:val="21"/>
          <w:bdr w:val="none" w:color="auto" w:sz="0" w:space="0"/>
          <w:shd w:val="clear" w:fill="FFFFFF"/>
          <w:lang w:val="en-US" w:eastAsia="zh-CN" w:bidi="ar"/>
        </w:rPr>
        <w:t>57。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4.初试科目与</w:t>
      </w:r>
      <w:r>
        <w:rPr>
          <w:rStyle w:val="7"/>
          <w:rFonts w:hint="default" w:ascii="仿宋_gb2312" w:hAnsi="仿宋_gb2312" w:eastAsia="仿宋_gb2312" w:cs="仿宋_gb2312"/>
          <w:color w:val="333333"/>
          <w:kern w:val="0"/>
          <w:sz w:val="21"/>
          <w:szCs w:val="21"/>
          <w:bdr w:val="none" w:color="auto" w:sz="0" w:space="0"/>
          <w:shd w:val="clear" w:fill="FFFFFF"/>
          <w:lang w:val="en-US" w:eastAsia="zh-CN" w:bidi="ar"/>
        </w:rPr>
        <w:t>生物与医药</w:t>
      </w:r>
      <w:r>
        <w:rPr>
          <w:rFonts w:hint="default" w:ascii="仿宋_gb2312" w:hAnsi="仿宋_gb2312" w:eastAsia="仿宋_gb2312" w:cs="仿宋_gb2312"/>
          <w:color w:val="333333"/>
          <w:kern w:val="0"/>
          <w:sz w:val="21"/>
          <w:szCs w:val="21"/>
          <w:bdr w:val="none" w:color="auto" w:sz="0" w:space="0"/>
          <w:shd w:val="clear" w:fill="FFFFFF"/>
          <w:lang w:val="en-US" w:eastAsia="zh-CN" w:bidi="ar"/>
        </w:rPr>
        <w:t>专业初试科目相同或相近，其中统考科目应相同。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5.第一志愿报考的学科门类为工学（专业代码前两位为08），各研究方向调剂说明详见附表。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1.我院调剂系统开放时间为：2023年4月17日08:00-4月17日20:00。考生必须在规定时间内登陆中国研究生招生信息网的全国硕士研究生招生考试网上调剂系统填报调剂志愿。每个考生最多可填报3个志愿。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2.填报时间截止后，我院根据初试成绩总分从高到低确定复试名单（初试成绩总分相同的，以英语成绩高低确定复试名单；英语成绩相同的，以业务课总分高低确定复试名单）。调剂复试采用“同批次、差额择优”的原则，差额比例为1: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3.对于同一个考生，我院只发送一个复试通知。如报考我院多个调剂志愿（方向）且有2个及以上志愿（方向）入围复试名单的，由考生选择其中一个志愿（方向）入围。调剂复试入围名单确定后，将在医学技术与工程学院网站（网址： https://yjgcxy.fjmu.edu.cn/）公布，并通过调剂服务系统向入围考生发送复试通知。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四、调剂复试办法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1.复试的笔试、现场面试的具体要求及内容，参照《福建医科大学2023年招收硕士研究生复试录取工作办法》《医学技术与工程学院2023年招收硕士研究生一志愿考生复试通知》执行。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2.复试的笔试科目，根据考生拟调入的方向确定，详见《福建医科大学2023年攻读硕士学位研究生招生章程及专业目录》。复试时间安排如下：</w:t>
      </w:r>
    </w:p>
    <w:tbl>
      <w:tblPr>
        <w:tblW w:w="5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70"/>
        <w:gridCol w:w="144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single" w:color="000000" w:sz="4" w:space="0"/>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研究方向</w:t>
            </w:r>
          </w:p>
        </w:tc>
        <w:tc>
          <w:tcPr>
            <w:tcW w:w="144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笔试时间</w:t>
            </w:r>
          </w:p>
        </w:tc>
        <w:tc>
          <w:tcPr>
            <w:tcW w:w="165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面试时间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纳米生物材料与制药</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医学物理</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食品营养与食品安全</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生物技术与工程</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生物医学工程</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24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生物医学信息学</w:t>
            </w:r>
          </w:p>
        </w:tc>
        <w:tc>
          <w:tcPr>
            <w:tcW w:w="144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4月20日上午</w:t>
            </w:r>
          </w:p>
        </w:tc>
        <w:tc>
          <w:tcPr>
            <w:tcW w:w="16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4月20日下午</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10" w:lineRule="atLeast"/>
        <w:ind w:left="0" w:right="0" w:firstLine="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 </w:t>
      </w:r>
      <w:r>
        <w:rPr>
          <w:rFonts w:hint="default" w:ascii="仿宋_gb2312" w:hAnsi="仿宋_gb2312" w:eastAsia="仿宋_gb2312" w:cs="仿宋_gb2312"/>
          <w:color w:val="333333"/>
          <w:kern w:val="0"/>
          <w:sz w:val="21"/>
          <w:szCs w:val="21"/>
          <w:bdr w:val="none" w:color="auto" w:sz="0" w:space="0"/>
          <w:lang w:val="en-US" w:eastAsia="zh-CN" w:bidi="ar"/>
        </w:rPr>
        <w:t>  具体时间、地点请等待复试小组通知。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3.考生须携带身份证、准考证、黑色签字笔参加笔试；面试需携带身份证、准考证。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4.复试流程：调剂系统填报志愿→入围复试后，线上报到并提交复试材料→专业课笔试、综合面试→复试结果公布。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线上报到及提交复试材料请于面试前完成，复试小组将进行资格审核，具体操作流程详见：</w:t>
      </w:r>
      <w:r>
        <w:rPr>
          <w:rFonts w:hint="default" w:ascii="仿宋_gb2312" w:hAnsi="仿宋_gb2312" w:eastAsia="仿宋_gb2312" w:cs="仿宋_gb2312"/>
          <w:color w:val="333333"/>
          <w:kern w:val="0"/>
          <w:sz w:val="21"/>
          <w:szCs w:val="21"/>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color w:val="3C3C3C"/>
          <w:kern w:val="0"/>
          <w:sz w:val="21"/>
          <w:szCs w:val="21"/>
          <w:u w:val="none"/>
          <w:bdr w:val="none" w:color="auto" w:sz="0" w:space="0"/>
          <w:shd w:val="clear" w:fill="FFFFFF"/>
          <w:lang w:val="en-US" w:eastAsia="zh-CN" w:bidi="ar"/>
        </w:rPr>
        <w:fldChar w:fldCharType="begin"/>
      </w:r>
      <w:r>
        <w:rPr>
          <w:rFonts w:hint="default" w:ascii="仿宋_gb2312" w:hAnsi="仿宋_gb2312" w:eastAsia="仿宋_gb2312" w:cs="仿宋_gb2312"/>
          <w:color w:val="3C3C3C"/>
          <w:kern w:val="0"/>
          <w:sz w:val="21"/>
          <w:szCs w:val="21"/>
          <w:u w:val="none"/>
          <w:bdr w:val="none" w:color="auto" w:sz="0" w:space="0"/>
          <w:shd w:val="clear" w:fill="FFFFFF"/>
          <w:lang w:val="en-US" w:eastAsia="zh-CN" w:bidi="ar"/>
        </w:rPr>
        <w:instrText xml:space="preserve"> HYPERLINK "https://yjsy.fjmu.edu.cn/_upload/article/files/7a/2f/6aaf8f504a06a59fb89cf3a97a47/607f848c-0238-4abc-8886-6d1e7401888d.doc" </w:instrText>
      </w:r>
      <w:r>
        <w:rPr>
          <w:rFonts w:hint="default" w:ascii="仿宋_gb2312" w:hAnsi="仿宋_gb2312" w:eastAsia="仿宋_gb2312" w:cs="仿宋_gb2312"/>
          <w:color w:val="3C3C3C"/>
          <w:kern w:val="0"/>
          <w:sz w:val="21"/>
          <w:szCs w:val="21"/>
          <w:u w:val="none"/>
          <w:bdr w:val="none" w:color="auto" w:sz="0" w:space="0"/>
          <w:shd w:val="clear" w:fill="FFFFFF"/>
          <w:lang w:val="en-US" w:eastAsia="zh-CN" w:bidi="ar"/>
        </w:rPr>
        <w:fldChar w:fldCharType="separate"/>
      </w:r>
      <w:r>
        <w:rPr>
          <w:rStyle w:val="8"/>
          <w:rFonts w:hint="default" w:ascii="仿宋_gb2312" w:hAnsi="仿宋_gb2312" w:eastAsia="仿宋_gb2312" w:cs="仿宋_gb2312"/>
          <w:color w:val="3C3C3C"/>
          <w:sz w:val="21"/>
          <w:szCs w:val="21"/>
          <w:u w:val="none"/>
          <w:bdr w:val="none" w:color="auto" w:sz="0" w:space="0"/>
          <w:shd w:val="clear" w:fill="FFFFFF"/>
        </w:rPr>
        <w:t>2023年硕士研究生线上报到及材料提交系统操作流程.doc</w:t>
      </w:r>
      <w:r>
        <w:rPr>
          <w:rFonts w:hint="default" w:ascii="仿宋_gb2312" w:hAnsi="仿宋_gb2312" w:eastAsia="仿宋_gb2312" w:cs="仿宋_gb2312"/>
          <w:color w:val="3C3C3C"/>
          <w:kern w:val="0"/>
          <w:sz w:val="21"/>
          <w:szCs w:val="21"/>
          <w:u w:val="none"/>
          <w:bdr w:val="none" w:color="auto" w:sz="0" w:space="0"/>
          <w:shd w:val="clear" w:fill="FFFFFF"/>
          <w:lang w:val="en-US" w:eastAsia="zh-CN" w:bidi="ar"/>
        </w:rPr>
        <w:fldChar w:fldCharType="end"/>
      </w:r>
      <w:r>
        <w:rPr>
          <w:rFonts w:hint="default" w:ascii="仿宋_gb2312" w:hAnsi="仿宋_gb2312" w:eastAsia="仿宋_gb2312" w:cs="仿宋_gb2312"/>
          <w:color w:val="333333"/>
          <w:kern w:val="0"/>
          <w:sz w:val="21"/>
          <w:szCs w:val="21"/>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5.总成绩计算：初试成绩（百分制）占60%+复试成绩（百分制）占40%。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8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注意：专业课笔试成绩不纳入复试成绩，但需达到2023年全国硕士研</w:t>
      </w:r>
      <w:bookmarkStart w:id="0" w:name="_GoBack"/>
      <w:bookmarkEnd w:id="0"/>
      <w:r>
        <w:rPr>
          <w:rFonts w:hint="default" w:ascii="仿宋_gb2312" w:hAnsi="仿宋_gb2312" w:eastAsia="仿宋_gb2312" w:cs="仿宋_gb2312"/>
          <w:color w:val="333333"/>
          <w:kern w:val="0"/>
          <w:sz w:val="21"/>
          <w:szCs w:val="21"/>
          <w:bdr w:val="none" w:color="auto" w:sz="0" w:space="0"/>
          <w:shd w:val="clear" w:fill="FFFFFF"/>
          <w:lang w:val="en-US" w:eastAsia="zh-CN" w:bidi="ar"/>
        </w:rPr>
        <w:t>究生招生考试考生进入</w:t>
      </w:r>
      <w:r>
        <w:rPr>
          <w:rStyle w:val="7"/>
          <w:rFonts w:hint="default" w:ascii="仿宋_gb2312" w:hAnsi="仿宋_gb2312" w:eastAsia="仿宋_gb2312" w:cs="仿宋_gb2312"/>
          <w:color w:val="333333"/>
          <w:kern w:val="0"/>
          <w:sz w:val="21"/>
          <w:szCs w:val="21"/>
          <w:bdr w:val="none" w:color="auto" w:sz="0" w:space="0"/>
          <w:shd w:val="clear" w:fill="FFFFFF"/>
          <w:lang w:val="en-US" w:eastAsia="zh-CN" w:bidi="ar"/>
        </w:rPr>
        <w:t>生物与医药</w:t>
      </w:r>
      <w:r>
        <w:rPr>
          <w:rFonts w:hint="default" w:ascii="仿宋_gb2312" w:hAnsi="仿宋_gb2312" w:eastAsia="仿宋_gb2312" w:cs="仿宋_gb2312"/>
          <w:color w:val="333333"/>
          <w:kern w:val="0"/>
          <w:sz w:val="21"/>
          <w:szCs w:val="21"/>
          <w:bdr w:val="none" w:color="auto" w:sz="0" w:space="0"/>
          <w:shd w:val="clear" w:fill="FFFFFF"/>
          <w:lang w:val="en-US" w:eastAsia="zh-CN" w:bidi="ar"/>
        </w:rPr>
        <w:t>专业复试单科初试成绩最低线方可参加面试。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五、录取办法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1.按各方向入围考生的总成绩排名，从高到低依次录取。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2.专业课笔试成绩不合格者，不予录取。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3.复试成绩不合格（低于60分）者，不予录取。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4.体检不合格的考生，不予录取。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5.思想品德考核不合格者，不予录取。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6.有任何舞弊行为者，不予录取。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7.复试结束后，我院将所有调剂考生的复试成绩及拟录取意见报送学校研招办审核后公示；待复审合格后履行录取手续。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firstLine="43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六、联系方式详见附表，具体情况请咨询各研究方向联系人。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附：医学技术与工程学院拟接收调剂生的专业及方向信息表</w:t>
      </w:r>
    </w:p>
    <w:tbl>
      <w:tblPr>
        <w:tblW w:w="71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86"/>
        <w:gridCol w:w="643"/>
        <w:gridCol w:w="523"/>
        <w:gridCol w:w="918"/>
        <w:gridCol w:w="418"/>
        <w:gridCol w:w="2270"/>
        <w:gridCol w:w="19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学院代码</w:t>
            </w:r>
          </w:p>
        </w:tc>
        <w:tc>
          <w:tcPr>
            <w:tcW w:w="66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专业代码及名称</w:t>
            </w:r>
          </w:p>
        </w:tc>
        <w:tc>
          <w:tcPr>
            <w:tcW w:w="58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学习方式与类型</w:t>
            </w:r>
          </w:p>
        </w:tc>
        <w:tc>
          <w:tcPr>
            <w:tcW w:w="1050" w:type="dxa"/>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研究方向</w:t>
            </w:r>
          </w:p>
        </w:tc>
        <w:tc>
          <w:tcPr>
            <w:tcW w:w="4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拟调剂名额</w:t>
            </w:r>
          </w:p>
        </w:tc>
        <w:tc>
          <w:tcPr>
            <w:tcW w:w="26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调剂说明</w:t>
            </w:r>
          </w:p>
        </w:tc>
        <w:tc>
          <w:tcPr>
            <w:tcW w:w="9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Style w:val="7"/>
                <w:rFonts w:hint="eastAsia" w:ascii="微软雅黑" w:hAnsi="微软雅黑" w:eastAsia="微软雅黑" w:cs="微软雅黑"/>
                <w:color w:val="333333"/>
                <w:kern w:val="0"/>
                <w:sz w:val="10"/>
                <w:szCs w:val="10"/>
                <w:bdr w:val="none" w:color="auto" w:sz="0" w:space="0"/>
                <w:lang w:val="en-US" w:eastAsia="zh-CN" w:bidi="ar"/>
              </w:rPr>
              <w:t>联系人及电话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10" w:hRule="atLeast"/>
        </w:trPr>
        <w:tc>
          <w:tcPr>
            <w:tcW w:w="40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006</w:t>
            </w:r>
          </w:p>
        </w:tc>
        <w:tc>
          <w:tcPr>
            <w:tcW w:w="66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[086000]</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eastAsia" w:ascii="微软雅黑" w:hAnsi="微软雅黑" w:eastAsia="微软雅黑" w:cs="微软雅黑"/>
                <w:color w:val="333333"/>
                <w:kern w:val="0"/>
                <w:sz w:val="10"/>
                <w:szCs w:val="10"/>
                <w:bdr w:val="none" w:color="auto" w:sz="0" w:space="0"/>
                <w:lang w:val="en-US" w:eastAsia="zh-CN" w:bidi="ar"/>
              </w:rPr>
              <w:t>生物与医药</w:t>
            </w:r>
          </w:p>
        </w:tc>
        <w:tc>
          <w:tcPr>
            <w:tcW w:w="58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0"/>
                <w:szCs w:val="10"/>
                <w:bdr w:val="none" w:color="auto" w:sz="0" w:space="0"/>
                <w:lang w:val="en-US" w:eastAsia="zh-CN" w:bidi="ar"/>
              </w:rPr>
              <w:t>全日制/专业学位</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01纳米生物材料与制药</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10</w:t>
            </w:r>
          </w:p>
        </w:tc>
        <w:tc>
          <w:tcPr>
            <w:tcW w:w="26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0"/>
                <w:szCs w:val="10"/>
                <w:bdr w:val="none" w:color="auto" w:sz="0" w:space="0"/>
                <w:lang w:val="en-US" w:eastAsia="zh-CN" w:bidi="ar"/>
              </w:rPr>
              <w:t>优先接收初试报考以下专业的考生：生物与医药（0860）、材料科学与工程（0805）、生物医学工程（0831）、化学工程与技术 （0817）、材料与化工（0856）等。</w:t>
            </w:r>
          </w:p>
        </w:tc>
        <w:tc>
          <w:tcPr>
            <w:tcW w:w="9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0"/>
                <w:szCs w:val="10"/>
                <w:bdr w:val="none" w:color="auto" w:sz="0" w:space="0"/>
                <w:lang w:val="en-US" w:eastAsia="zh-CN" w:bidi="ar"/>
              </w:rPr>
              <w:t>陈老师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eastAsia" w:ascii="微软雅黑" w:hAnsi="微软雅黑" w:eastAsia="微软雅黑" w:cs="微软雅黑"/>
                <w:color w:val="333333"/>
                <w:kern w:val="0"/>
                <w:sz w:val="10"/>
                <w:szCs w:val="10"/>
                <w:bdr w:val="none" w:color="auto" w:sz="0" w:space="0"/>
                <w:lang w:val="en-US" w:eastAsia="zh-CN" w:bidi="ar"/>
              </w:rPr>
              <w:t>0591-22862016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5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6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8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02医学物理</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1</w:t>
            </w:r>
          </w:p>
        </w:tc>
        <w:tc>
          <w:tcPr>
            <w:tcW w:w="26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0"/>
                <w:szCs w:val="10"/>
                <w:bdr w:val="none" w:color="auto" w:sz="0" w:space="0"/>
                <w:lang w:val="en-US" w:eastAsia="zh-CN" w:bidi="ar"/>
              </w:rPr>
              <w:t>医学物理方向：限制接收本科就读以下专业的考生：优先接收医学相关专业（包括医学影像学、医学影像技术、医学影像与核医学等），次优先接收工程专业（包括生物医学工程、核工程与技术、电子工程、计算机科学与技术等)。</w:t>
            </w:r>
          </w:p>
        </w:tc>
        <w:tc>
          <w:tcPr>
            <w:tcW w:w="9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林老师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eastAsia" w:ascii="微软雅黑" w:hAnsi="微软雅黑" w:eastAsia="微软雅黑" w:cs="微软雅黑"/>
                <w:color w:val="333333"/>
                <w:kern w:val="0"/>
                <w:sz w:val="10"/>
                <w:szCs w:val="10"/>
                <w:bdr w:val="none" w:color="auto" w:sz="0" w:space="0"/>
                <w:lang w:val="en-US" w:eastAsia="zh-CN" w:bidi="ar"/>
              </w:rPr>
              <w:t>0591-22860109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6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8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03食品营养与食品安全</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1</w:t>
            </w:r>
          </w:p>
        </w:tc>
        <w:tc>
          <w:tcPr>
            <w:tcW w:w="26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0"/>
                <w:szCs w:val="10"/>
                <w:bdr w:val="none" w:color="auto" w:sz="0" w:space="0"/>
                <w:lang w:val="en-US" w:eastAsia="zh-CN" w:bidi="ar"/>
              </w:rPr>
              <w:t>优先接收初试报考以下专业的考生：生物与医药(086000)、生物技术与工程(086001)、制药工程(086002)、食品工程(086003)等（以上专业并列优先，不分先后）。</w:t>
            </w:r>
          </w:p>
        </w:tc>
        <w:tc>
          <w:tcPr>
            <w:tcW w:w="9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杨老师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eastAsia" w:ascii="微软雅黑" w:hAnsi="微软雅黑" w:eastAsia="微软雅黑" w:cs="微软雅黑"/>
                <w:color w:val="333333"/>
                <w:kern w:val="0"/>
                <w:sz w:val="10"/>
                <w:szCs w:val="10"/>
                <w:bdr w:val="none" w:color="auto" w:sz="0" w:space="0"/>
                <w:lang w:val="en-US" w:eastAsia="zh-CN" w:bidi="ar"/>
              </w:rPr>
              <w:t>0591-22862023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6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8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04生物技术与工程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8</w:t>
            </w:r>
          </w:p>
        </w:tc>
        <w:tc>
          <w:tcPr>
            <w:tcW w:w="26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初试报考专业限定为：</w:t>
            </w:r>
            <w:r>
              <w:rPr>
                <w:rFonts w:hint="eastAsia" w:ascii="宋体" w:hAnsi="宋体" w:eastAsia="宋体" w:cs="宋体"/>
                <w:color w:val="333333"/>
                <w:kern w:val="0"/>
                <w:sz w:val="10"/>
                <w:szCs w:val="10"/>
                <w:bdr w:val="none" w:color="auto" w:sz="0" w:space="0"/>
                <w:lang w:val="en-US" w:eastAsia="zh-CN" w:bidi="ar"/>
              </w:rPr>
              <w:t>生物与医药(086000)</w:t>
            </w:r>
            <w:r>
              <w:rPr>
                <w:rFonts w:hint="eastAsia" w:ascii="微软雅黑" w:hAnsi="微软雅黑" w:eastAsia="微软雅黑" w:cs="微软雅黑"/>
                <w:color w:val="333333"/>
                <w:kern w:val="0"/>
                <w:sz w:val="10"/>
                <w:szCs w:val="10"/>
                <w:bdr w:val="none" w:color="auto" w:sz="0" w:space="0"/>
                <w:lang w:val="en-US" w:eastAsia="zh-CN" w:bidi="ar"/>
              </w:rPr>
              <w:t>、</w:t>
            </w:r>
            <w:r>
              <w:rPr>
                <w:rFonts w:hint="eastAsia" w:ascii="宋体" w:hAnsi="宋体" w:eastAsia="宋体" w:cs="宋体"/>
                <w:color w:val="333333"/>
                <w:kern w:val="0"/>
                <w:sz w:val="10"/>
                <w:szCs w:val="10"/>
                <w:bdr w:val="none" w:color="auto" w:sz="0" w:space="0"/>
                <w:lang w:val="en-US" w:eastAsia="zh-CN" w:bidi="ar"/>
              </w:rPr>
              <w:t>生物工程（083600）、生物医学工程（083100，085409）、光学工程（080300）、光电信息工程（085408）、控制工程（085406）等。本科就读医学相关专业（医学检验技术、眼视光学、临床医学等）考生优先接收。</w:t>
            </w:r>
          </w:p>
        </w:tc>
        <w:tc>
          <w:tcPr>
            <w:tcW w:w="9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刘老师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eastAsia" w:ascii="微软雅黑" w:hAnsi="微软雅黑" w:eastAsia="微软雅黑" w:cs="微软雅黑"/>
                <w:color w:val="333333"/>
                <w:kern w:val="0"/>
                <w:sz w:val="10"/>
                <w:szCs w:val="10"/>
                <w:bdr w:val="none" w:color="auto" w:sz="0" w:space="0"/>
                <w:lang w:val="en-US" w:eastAsia="zh-CN" w:bidi="ar"/>
              </w:rPr>
              <w:t>0591-83311787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6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8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05生物医学工程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1</w:t>
            </w:r>
          </w:p>
        </w:tc>
        <w:tc>
          <w:tcPr>
            <w:tcW w:w="26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初试报考专业限定为：</w:t>
            </w:r>
            <w:r>
              <w:rPr>
                <w:rFonts w:hint="eastAsia" w:ascii="宋体" w:hAnsi="宋体" w:eastAsia="宋体" w:cs="宋体"/>
                <w:color w:val="333333"/>
                <w:kern w:val="0"/>
                <w:sz w:val="10"/>
                <w:szCs w:val="10"/>
                <w:bdr w:val="none" w:color="auto" w:sz="0" w:space="0"/>
                <w:lang w:val="en-US" w:eastAsia="zh-CN" w:bidi="ar"/>
              </w:rPr>
              <w:t>生物与医药(086000)</w:t>
            </w:r>
            <w:r>
              <w:rPr>
                <w:rFonts w:hint="eastAsia" w:ascii="微软雅黑" w:hAnsi="微软雅黑" w:eastAsia="微软雅黑" w:cs="微软雅黑"/>
                <w:color w:val="333333"/>
                <w:kern w:val="0"/>
                <w:sz w:val="10"/>
                <w:szCs w:val="10"/>
                <w:bdr w:val="none" w:color="auto" w:sz="0" w:space="0"/>
                <w:lang w:val="en-US" w:eastAsia="zh-CN" w:bidi="ar"/>
              </w:rPr>
              <w:t>、</w:t>
            </w:r>
            <w:r>
              <w:rPr>
                <w:rFonts w:hint="eastAsia" w:ascii="宋体" w:hAnsi="宋体" w:eastAsia="宋体" w:cs="宋体"/>
                <w:color w:val="333333"/>
                <w:kern w:val="0"/>
                <w:sz w:val="10"/>
                <w:szCs w:val="10"/>
                <w:bdr w:val="none" w:color="auto" w:sz="0" w:space="0"/>
                <w:lang w:val="en-US" w:eastAsia="zh-CN" w:bidi="ar"/>
              </w:rPr>
              <w:t>人工智能(085410)。且优先接收本科就读智能科学与技术专业的考生。</w:t>
            </w:r>
          </w:p>
        </w:tc>
        <w:tc>
          <w:tcPr>
            <w:tcW w:w="9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林老师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eastAsia" w:ascii="微软雅黑" w:hAnsi="微软雅黑" w:eastAsia="微软雅黑" w:cs="微软雅黑"/>
                <w:color w:val="333333"/>
                <w:kern w:val="0"/>
                <w:sz w:val="10"/>
                <w:szCs w:val="10"/>
                <w:bdr w:val="none" w:color="auto" w:sz="0" w:space="0"/>
                <w:lang w:val="en-US" w:eastAsia="zh-CN" w:bidi="ar"/>
              </w:rPr>
              <w:t>0591-22860109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0" w:hRule="atLeast"/>
        </w:trPr>
        <w:tc>
          <w:tcPr>
            <w:tcW w:w="40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66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58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06生物医学信息学</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1</w:t>
            </w:r>
          </w:p>
        </w:tc>
        <w:tc>
          <w:tcPr>
            <w:tcW w:w="26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333333"/>
                <w:kern w:val="0"/>
                <w:sz w:val="10"/>
                <w:szCs w:val="10"/>
                <w:bdr w:val="none" w:color="auto" w:sz="0" w:space="0"/>
                <w:lang w:val="en-US" w:eastAsia="zh-CN" w:bidi="ar"/>
              </w:rPr>
              <w:t>初试报考专业限定为：生物与医药（086000）。其中优先接收本科就读以下专业的考生：生物信息学、统计学、计算机科学与技术、数据科学与大数据技术。</w:t>
            </w:r>
          </w:p>
        </w:tc>
        <w:tc>
          <w:tcPr>
            <w:tcW w:w="9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刘老师</w:t>
            </w:r>
            <w:r>
              <w:rPr>
                <w:rFonts w:hint="eastAsia" w:ascii="微软雅黑" w:hAnsi="微软雅黑" w:eastAsia="微软雅黑" w:cs="微软雅黑"/>
                <w:color w:val="333333"/>
                <w:kern w:val="0"/>
                <w:sz w:val="10"/>
                <w:szCs w:val="10"/>
                <w:bdr w:val="none" w:color="auto" w:sz="0" w:space="0"/>
                <w:lang w:val="en-US" w:eastAsia="zh-CN" w:bidi="ar"/>
              </w:rPr>
              <w:br w:type="textWrapping"/>
            </w:r>
            <w:r>
              <w:rPr>
                <w:rFonts w:hint="eastAsia" w:ascii="微软雅黑" w:hAnsi="微软雅黑" w:eastAsia="微软雅黑" w:cs="微软雅黑"/>
                <w:color w:val="333333"/>
                <w:kern w:val="0"/>
                <w:sz w:val="10"/>
                <w:szCs w:val="10"/>
                <w:bdr w:val="none" w:color="auto" w:sz="0" w:space="0"/>
                <w:lang w:val="en-US" w:eastAsia="zh-CN" w:bidi="ar"/>
              </w:rPr>
              <w:t>0591-83311787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2690" w:type="dxa"/>
            <w:gridSpan w:val="4"/>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合计</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0"/>
                <w:szCs w:val="10"/>
                <w:bdr w:val="none" w:color="auto" w:sz="0" w:space="0"/>
                <w:lang w:val="en-US" w:eastAsia="zh-CN" w:bidi="ar"/>
              </w:rPr>
              <w:t>22</w:t>
            </w:r>
          </w:p>
        </w:tc>
        <w:tc>
          <w:tcPr>
            <w:tcW w:w="4900" w:type="dxa"/>
            <w:gridSpan w:val="2"/>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0"/>
                <w:szCs w:val="10"/>
                <w:bdr w:val="none" w:color="auto" w:sz="0" w:space="0"/>
                <w:lang w:val="en-US" w:eastAsia="zh-CN" w:bidi="ar"/>
              </w:rPr>
              <w:t>调剂系统问题请咨询刘老师：0591-83311787</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0070C0"/>
          <w:kern w:val="0"/>
          <w:sz w:val="21"/>
          <w:szCs w:val="21"/>
          <w:bdr w:val="none" w:color="auto" w:sz="0" w:space="0"/>
          <w:shd w:val="clear" w:fill="FFFFFF"/>
          <w:lang w:val="en-US" w:eastAsia="zh-CN" w:bidi="ar"/>
        </w:rPr>
        <w:t>备注：我院保留复试录取过程中视生源情况对招生计划进行动态调整的权利。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 医学技术与工程学院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0" w:lineRule="atLeast"/>
        <w:ind w:left="0" w:right="0"/>
        <w:jc w:val="left"/>
        <w:rPr>
          <w:rFonts w:hint="eastAsia" w:ascii="微软雅黑" w:hAnsi="微软雅黑" w:eastAsia="微软雅黑" w:cs="微软雅黑"/>
          <w:color w:val="333333"/>
          <w:sz w:val="14"/>
          <w:szCs w:val="14"/>
        </w:rPr>
      </w:pPr>
      <w:r>
        <w:rPr>
          <w:rFonts w:hint="default" w:ascii="仿宋_gb2312" w:hAnsi="仿宋_gb2312" w:eastAsia="仿宋_gb2312" w:cs="仿宋_gb2312"/>
          <w:color w:val="333333"/>
          <w:kern w:val="0"/>
          <w:sz w:val="21"/>
          <w:szCs w:val="21"/>
          <w:bdr w:val="none" w:color="auto" w:sz="0" w:space="0"/>
          <w:shd w:val="clear" w:fill="FFFFFF"/>
          <w:lang w:val="en-US" w:eastAsia="zh-CN" w:bidi="ar"/>
        </w:rPr>
        <w:t>                                                      2023年4月16日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32077737"/>
    <w:rsid w:val="3207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2023-04-21T06:51:00Z</dcterms:created>
  <dc:creator>晴天</dc:creator>
  <cp:lastModifiedBy>晴天</cp:lastModifiedBy>
  <dcterms:modified xsi:type="dcterms:W3CDTF">2023-04-21T06:53:00Z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F805FEBACE6547C294BBFF0C0D2A0982_11</vt:lpwstr>
  </property>
</Properties>
</file>