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00" w:beforeAutospacing="0" w:after="200" w:afterAutospacing="0" w:line="16" w:lineRule="atLeast"/>
        <w:ind w:left="0" w:right="0"/>
        <w:jc w:val="center"/>
        <w:rPr>
          <w:rFonts w:ascii="Bold" w:hAnsi="Bold" w:eastAsia="Bold" w:cs="Bold"/>
          <w:b w:val="0"/>
          <w:color w:val="222222"/>
          <w:sz w:val="28"/>
          <w:szCs w:val="28"/>
        </w:rPr>
      </w:pPr>
      <w:r>
        <w:rPr>
          <w:rFonts w:hint="default" w:ascii="Bold" w:hAnsi="Bold" w:eastAsia="Bold" w:cs="Bold"/>
          <w:b w:val="0"/>
          <w:i w:val="0"/>
          <w:caps w:val="0"/>
          <w:color w:val="222222"/>
          <w:spacing w:val="0"/>
          <w:sz w:val="28"/>
          <w:szCs w:val="28"/>
          <w:bdr w:val="none" w:color="auto" w:sz="0" w:space="0"/>
          <w:shd w:val="clear" w:fill="FFFFFF"/>
        </w:rPr>
        <w:t>聊城大学材料科学与工程学院2023年硕士研究生第二次调剂公告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2023-04-13  由：李艳发布  浏览： 阅读次数：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215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一、学院简介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材料科学与工程学院2006年获批材料物理与化学授权二级学科硕士学位授权点，自2007年开始招收硕士研究生。2011年3月获批材料科学与工程一级学科硕士学位授权点。材料科学与工程学科是聊城大学重点建设的工科学科，2020年ESI排名进入全球前1%。本学科面向世界科技前沿和经济主战场，积极适应区域经济建设发展需求，围绕基础材料高性能化与绿色制备、信息功能材料与器件、能量转换与存储材料等研究方向，为服务地方经济发展培养材料专业技术人才。近五年培养毕业研究生34人，研究生就业率100%，攻读博士学位的比例达50%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学院拥有6000平米的独立实验楼和1000平米的高分子材料加工实验室，建立了教学、科研共用的材料制备平台、材料加工平台、材料性能测试平台、材料结构表征平台，装备有场发射扫描电子显微镜、X-射线衍射仪等各种先进教学与科研仪器设备，总值达5000余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二、拟接收调剂专业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0805  材料科学与工程 （全日制）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三、调剂要求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（一）调入我院的基本要求：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1. 初试成绩达到教育部统一规定的A类地区的全国初试成绩基本要求（单科、总分）。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2. 拟调剂专业与第一志愿报考专业相同或相近，应在同一学科门类范围内。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3. 初试科目与拟调剂专业初试科目相同或相近，其中初试全国统一命题科目应与拟调剂专业全国统一命题科目相同；未考统考科目的考生不能调入设统考科目的专业。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4. 数学一、二、三之间和英语一、二之间可由高向低调剂，不可由低向高调剂。如数学一可调剂到数学二、数学二可调剂到数学三、反之不可调。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四、调剂程序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（1）申请调剂考生须登录中国研究生招生信息网调剂系统进行报名（所有调剂考生必须通过研招网调剂系统，否则不能录取）。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（2）我校将对调剂考生资格进行审核后及时通知考生并安排复试，请保持通讯畅通，并及时登录我校研究生处网站（http://yjsc.lcu.edu.cn/）查看最新复试安排公告。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　　学院联系人：李老师（电话：0635-8239861，邮箱：liyan1@lcu.edu.cn）；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ld">
    <w:altName w:val="Arial Rounded MT Bol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7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2023-05-23T06:23:30Z</dcterms:created>
  <dc:creator>86188</dc:creator>
  <cp:lastModifiedBy>随风而动</cp:lastModifiedBy>
  <dcterms:modified xsi:type="dcterms:W3CDTF">2023-05-23T06:23:31Z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