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40" w:lineRule="atLeast"/>
        <w:ind w:left="0" w:right="0"/>
        <w:jc w:val="center"/>
        <w:rPr>
          <w:rFonts w:ascii="微软雅黑" w:hAnsi="微软雅黑" w:eastAsia="微软雅黑" w:cs="微软雅黑"/>
          <w:b w:val="0"/>
          <w:i w:val="0"/>
          <w:color w:val="40404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u w:val="none"/>
          <w:bdr w:val="none" w:color="auto" w:sz="0" w:space="0"/>
        </w:rPr>
        <w:t>聊城大学法学院2023年硕士研究生二次调剂公告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olor w:val="666666"/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"https://fxy.lcu.edu.cn/index.htm" </w:instrTex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sz w:val="12"/>
          <w:szCs w:val="12"/>
          <w:u w:val="none"/>
          <w:bdr w:val="none" w:color="auto" w:sz="0" w:space="0"/>
        </w:rPr>
        <w:t>首页</w: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olor w:val="666666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» </w: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"https://fxy.lcu.edu.cn/gd/index.htm" </w:instrTex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sz w:val="12"/>
          <w:szCs w:val="12"/>
          <w:u w:val="none"/>
          <w:bdr w:val="none" w:color="auto" w:sz="0" w:space="0"/>
        </w:rPr>
        <w:t>更多</w: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olor w:val="666666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» </w: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"https://fxy.lcu.edu.cn/gd/tzgg/index.htm" </w:instrTex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sz w:val="12"/>
          <w:szCs w:val="12"/>
          <w:u w:val="none"/>
          <w:bdr w:val="none" w:color="auto" w:sz="0" w:space="0"/>
        </w:rPr>
        <w:t>通知公告</w:t>
      </w:r>
      <w:r>
        <w:rPr>
          <w:rFonts w:hint="eastAsia" w:ascii="微软雅黑" w:hAnsi="微软雅黑" w:eastAsia="微软雅黑" w:cs="微软雅黑"/>
          <w:b w:val="0"/>
          <w:i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olor w:val="666666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» 聊城大学法学院2023年硕士研究生二次调剂公告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我院目前还有部分学科（专业）有剩余招生计划。经学院上报学校研究后，决定进行第二次调剂，现将相关调剂事项公布如下。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一、拟接收调剂专业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035102法律（法学）（非全日制）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1.调剂考生成绩须符合原报考专业和拟调剂专业的“2023年全国硕士研究生招生考试考生进入复试的初试成绩基本要求”A类地区复试基本分数线；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2.符合拟调剂专业的报考条件；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3.初试科目与调入专业初试科目相同或相近，其中统考科目原则上应相同。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4.调剂考生的复试科目、复试流程，初试与复试成绩占比，录取总成绩核算方式等均与一志愿考生程序相同。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三、调剂程序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（1）申请调剂考生须登录中国研究生招生信息网调剂系统进行报名（所有调剂考生必须通过研招网调剂系统，否则不能录取）。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（2）我校将对调剂考生资格进行审核后及时通知考生并安排复试，请考生参加调剂复试期间保持电话畅通，并及时登录我校研究生处网站（http://yjsc.lcu.edu.cn/）查看最新复试安排公告。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404040"/>
          <w:spacing w:val="0"/>
          <w:sz w:val="14"/>
          <w:szCs w:val="14"/>
          <w:u w:val="none"/>
          <w:bdr w:val="none" w:color="auto" w:sz="0" w:space="0"/>
        </w:rPr>
        <w:t>　　学院联系人： 毛老师（电话：0635-8238276，邮箱：maomin@lcu.edu.cn）。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olor w:val="404040"/>
          <w:sz w:val="14"/>
          <w:szCs w:val="14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2023-05-23T06:26:11Z</dcterms:created>
  <dc:creator>86188</dc:creator>
  <cp:lastModifiedBy>随风而动</cp:lastModifiedBy>
  <dcterms:modified xsi:type="dcterms:W3CDTF">2023-05-23T06:26:16Z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