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00" w:afterAutospacing="0" w:line="420" w:lineRule="atLeast"/>
        <w:ind w:left="0" w:right="0"/>
        <w:rPr>
          <w:rFonts w:ascii="sans-serif" w:hAnsi="sans-serif" w:eastAsia="sans-serif" w:cs="sans-serif"/>
          <w:b/>
          <w:color w:val="000000"/>
          <w:sz w:val="30"/>
          <w:szCs w:val="30"/>
        </w:rPr>
      </w:pPr>
      <w:r>
        <w:rPr>
          <w:rFonts w:hint="default" w:ascii="sans-serif" w:hAnsi="sans-serif" w:eastAsia="sans-serif" w:cs="sans-serif"/>
          <w:b/>
          <w:color w:val="000000"/>
          <w:sz w:val="30"/>
          <w:szCs w:val="30"/>
        </w:rPr>
        <w:t>生命科学学院2023年硕士研究生调剂公告</w:t>
      </w:r>
    </w:p>
    <w:p>
      <w:pPr>
        <w:keepNext w:val="0"/>
        <w:keepLines w:val="0"/>
        <w:widowControl/>
        <w:suppressLineNumbers w:val="0"/>
        <w:jc w:val="left"/>
      </w:pPr>
      <w:r>
        <w:rPr>
          <w:rFonts w:ascii="宋体" w:hAnsi="宋体" w:eastAsia="宋体" w:cs="宋体"/>
          <w:kern w:val="0"/>
          <w:sz w:val="24"/>
          <w:szCs w:val="24"/>
          <w:lang w:val="en-US" w:eastAsia="zh-CN" w:bidi="ar"/>
        </w:rPr>
        <w:t>发布时间：2023-04-04</w:t>
      </w:r>
    </w:p>
    <w:p>
      <w:pPr>
        <w:pStyle w:val="3"/>
        <w:keepNext w:val="0"/>
        <w:keepLines w:val="0"/>
        <w:widowControl/>
        <w:suppressLineNumbers w:val="0"/>
        <w:spacing w:before="0" w:beforeAutospacing="0" w:after="402" w:afterAutospacing="0" w:line="336" w:lineRule="atLeast"/>
        <w:ind w:left="0" w:right="0"/>
        <w:jc w:val="both"/>
        <w:rPr>
          <w:rFonts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学院简介</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聊城大学生命科学学院前身为聊城师范学院生物系，建于1986年，2003年8月更为现名，是聊城大学综合实力较强、发展较快的理工科学院之一。秉承“厚德 笃行 格物 致知”的院训，历经三十多年的建设与发展，学院建立了一支具有较高学术水平的教学、科研队伍，现有全日制在校本科生和研究生合计1300余名，教风严谨学风浓郁，事业发展蒸蒸日上。</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学院师资力量雄厚，现有专任教师72人，教授8人，副教授27人；具有博士学位的62人，具有海外留学及学术研究背景的教师18人。全国优秀教师1人，校级教学名师4人。多名教师担任“中国菌物学会地衣专业委员会主任”、“中国海洋湖藻学会底栖生物学分会常务理事”、“山东省现代农业产业技术体系蜂创新团队蜂产品加工与质量控制岗位专家”、“山东生态学会常务理事”、“山东植物学会常务理事”、“山东省微生物学会常务理事”和山东生物化学与分子生物学会常务理事”。形成了一支年龄、专业结构合理，教学科研经验丰富，具有国际视野、治学严谨、团结向上、勇于创新的教师队伍。</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学院在学科建设和科学研究方面取得了突出的成绩，承接高水平科研项目的能力日益增强，产出了一批高水平的学术成果，建设了相对完备的科研平台。几年来，先后主持国家自然科学基金项目23项，农业部重大课题子课题3项，教育部归国人员奖励基金项目1项，省级科研项目29项，科研总经费达1000余万元。发表学术论文500余篇篇，获批发明专利35项，荣获山东省科技进步三等奖2项，山东高等学校优秀科研成果一等奖1项、二等奖2项、三等奖1项，山东省高等教育教学成果二等奖2项，其它省部级奖励4项。教师获首届全国生物化学与分子生物学微课程竞赛三等奖1项，山东省青年教师教学竞赛二等奖1项。出版专著、教材4部。</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学院教学、科研设施完善，设备先进。拥有独立的实验教学楼建筑面积11000余平方米，教学科研设备6000余万元。学院现拥有山东省高校“十二五”重点实验室“生态学与生物多样性”及山东省重点学科“分子生物学与抗体工程制药”、山东省高校“十三五”重点实验室“生态环境保育与生物资源创新利用”和1个“生物医学研究院”。</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接受调剂专业</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生物学（0710）</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生物工程 （083600）</w:t>
      </w:r>
    </w:p>
    <w:p>
      <w:pPr>
        <w:pStyle w:val="3"/>
        <w:keepNext w:val="0"/>
        <w:keepLines w:val="0"/>
        <w:widowControl/>
        <w:suppressLineNumbers w:val="0"/>
        <w:spacing w:before="0" w:beforeAutospacing="0" w:after="402" w:afterAutospacing="0" w:line="336" w:lineRule="atLeast"/>
        <w:ind w:left="0" w:right="0"/>
        <w:jc w:val="center"/>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w:t>
      </w:r>
      <w:r>
        <w:rPr>
          <w:rFonts w:hint="eastAsia" w:ascii="Microsoft YaHei UI" w:hAnsi="Microsoft YaHei UI" w:eastAsia="Microsoft YaHei UI" w:cs="Microsoft YaHei UI"/>
          <w:i w:val="0"/>
          <w:caps w:val="0"/>
          <w:color w:val="000000"/>
          <w:spacing w:val="5"/>
          <w:sz w:val="28"/>
          <w:szCs w:val="28"/>
          <w:bdr w:val="none" w:color="auto" w:sz="0" w:space="0"/>
          <w:shd w:val="clear" w:fill="FFFFFF"/>
        </w:rPr>
        <w:drawing>
          <wp:inline distT="0" distB="0" distL="114300" distR="114300">
            <wp:extent cx="12077700" cy="32670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2077700" cy="3267075"/>
                    </a:xfrm>
                    <a:prstGeom prst="rect">
                      <a:avLst/>
                    </a:prstGeom>
                    <a:noFill/>
                    <a:ln w="9525">
                      <a:noFill/>
                    </a:ln>
                  </pic:spPr>
                </pic:pic>
              </a:graphicData>
            </a:graphic>
          </wp:inline>
        </w:drawing>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调剂要求</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1.初试成绩达到报考专业与拟调剂专业教育部A区分数线（双上线）；</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2.拟调剂专业与第一志愿报考专业相同或相近，应在同一学科门类范围内；</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3.初试科目与拟调剂专业初试科目相同或相近，其中初试全国统一命题科目应与拟调剂专业全国统一命题科目相同；</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4.未考统考科目的考生不能调入设统考科目的专业。</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调剂程序</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1.研招网开通硕士研究生调剂系统，请申请调剂考生第一时间登录中国研究生招生信息网调剂系统进行报名（所有调剂考生必须通过研招网调剂系统,否则不能录取）。</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2.我校将对调剂考生资格进行审核后通知考生并安排复试，请通讯畅通，登陆我校研究生处招生网（http://yjsc.lcu.edu.cn/）查看最新复试安排公告。</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联系方式</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联系人：金老师</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邮箱：jinhan@lcu.edu.cn</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电话：19563560968</w:t>
      </w:r>
    </w:p>
    <w:p>
      <w:pPr>
        <w:pStyle w:val="3"/>
        <w:keepNext w:val="0"/>
        <w:keepLines w:val="0"/>
        <w:widowControl/>
        <w:suppressLineNumbers w:val="0"/>
        <w:spacing w:before="0" w:beforeAutospacing="0" w:after="402" w:afterAutospacing="0" w:line="336" w:lineRule="atLeast"/>
        <w:ind w:left="0" w:right="0"/>
        <w:jc w:val="both"/>
        <w:rPr>
          <w:rFonts w:hint="eastAsia" w:ascii="Microsoft YaHei UI" w:hAnsi="Microsoft YaHei UI" w:eastAsia="Microsoft YaHei UI" w:cs="Microsoft YaHei UI"/>
          <w:color w:val="000000"/>
          <w:sz w:val="28"/>
          <w:szCs w:val="28"/>
        </w:rPr>
      </w:pPr>
      <w:r>
        <w:rPr>
          <w:rFonts w:hint="eastAsia" w:ascii="Microsoft YaHei UI" w:hAnsi="Microsoft YaHei UI" w:eastAsia="Microsoft YaHei UI" w:cs="Microsoft YaHei UI"/>
          <w:i w:val="0"/>
          <w:caps w:val="0"/>
          <w:color w:val="000000"/>
          <w:spacing w:val="5"/>
          <w:sz w:val="28"/>
          <w:szCs w:val="28"/>
          <w:shd w:val="clear" w:fill="FFFFFF"/>
        </w:rPr>
        <w:t>　　学院网站：http://smkxxy.lcu.edu.cn/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E3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2023-05-23T06:41:10Z</dcterms:created>
  <dc:creator>86188</dc:creator>
  <cp:lastModifiedBy>随风而动</cp:lastModifiedBy>
  <dcterms:modified xsi:type="dcterms:W3CDTF">2023-05-23T06:41:12Z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