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292929"/>
          <w:sz w:val="30"/>
          <w:szCs w:val="30"/>
        </w:rPr>
      </w:pPr>
      <w:r>
        <w:rPr>
          <w:rFonts w:ascii="微软雅黑" w:hAnsi="微软雅黑" w:eastAsia="微软雅黑" w:cs="微软雅黑"/>
          <w:i w:val="0"/>
          <w:caps w:val="0"/>
          <w:color w:val="292929"/>
          <w:spacing w:val="0"/>
          <w:sz w:val="30"/>
          <w:szCs w:val="30"/>
          <w:bdr w:val="none" w:color="auto" w:sz="0" w:space="0"/>
        </w:rPr>
        <w:t>聊城大学生物制药研究院2023年硕士研究生调剂公告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ind w:left="0" w:right="0"/>
        <w:jc w:val="center"/>
        <w:rPr>
          <w:sz w:val="14"/>
          <w:szCs w:val="14"/>
        </w:rPr>
      </w:pPr>
      <w:r>
        <w:rPr>
          <w:rFonts w:hint="eastAsia" w:ascii="微软雅黑" w:hAnsi="微软雅黑" w:eastAsia="微软雅黑" w:cs="微软雅黑"/>
          <w:i w:val="0"/>
          <w:caps w:val="0"/>
          <w:color w:val="333333"/>
          <w:spacing w:val="0"/>
          <w:sz w:val="14"/>
          <w:szCs w:val="14"/>
          <w:bdr w:val="none" w:color="auto" w:sz="0" w:space="0"/>
        </w:rPr>
        <w:t>作者：生物制药 发布时间：2023-04-06</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Fonts w:hint="eastAsia" w:ascii="微软雅黑" w:hAnsi="微软雅黑" w:eastAsia="微软雅黑" w:cs="微软雅黑"/>
          <w:b/>
          <w:i w:val="0"/>
          <w:caps w:val="0"/>
          <w:color w:val="000000"/>
          <w:spacing w:val="0"/>
          <w:kern w:val="0"/>
          <w:sz w:val="26"/>
          <w:szCs w:val="26"/>
          <w:bdr w:val="none" w:color="auto" w:sz="0" w:space="0"/>
          <w:shd w:val="clear" w:fill="EEEEEE"/>
          <w:lang w:val="en-US" w:eastAsia="zh-CN" w:bidi="ar"/>
        </w:rPr>
        <w:t>一、研究院简介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微软雅黑" w:hAnsi="微软雅黑" w:eastAsia="微软雅黑" w:cs="微软雅黑"/>
          <w:i w:val="0"/>
          <w:caps w:val="0"/>
          <w:color w:val="333333"/>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ascii="黑体" w:hAnsi="宋体" w:eastAsia="黑体" w:cs="黑体"/>
          <w:i w:val="0"/>
          <w:caps w:val="0"/>
          <w:color w:val="000000"/>
          <w:spacing w:val="0"/>
          <w:sz w:val="14"/>
          <w:szCs w:val="14"/>
          <w:bdr w:val="none" w:color="auto" w:sz="0" w:space="0"/>
        </w:rPr>
        <w:t>生物制药研究院拥有山东省抗体制药协同创新中心、山东省纳米药物及释药系统工程技术研究中心、山东省抗病毒药物工程实验室、聊城大学生物活性物质与临床营养研发中心、聊城高新区生物技术研发中心等省市级研究平台，超过6000万的实验室和中试基地已经投入使用，包括物理药学实验室、生物大分子药物实验室、药物制剂及分析实验室、临床营养实验室、动物房等设施。研究方向包括药物制剂、药物晶型研究、处方前研究、药物一致性评价、纳米药物与缓控释制剂、新药开发和功能食品/保健食品/临床营养等，并着重建设以热熔挤出为核心技术的的难溶性药物制剂关键技术平台，可为研究生的科研工作提供良好的保障。目前有在校研究生43名，毕业生考博深造人数逐年增加，往年应届毕业生考博比例高达85%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微软雅黑" w:hAnsi="微软雅黑" w:eastAsia="微软雅黑" w:cs="微软雅黑"/>
          <w:i w:val="0"/>
          <w:caps w:val="0"/>
          <w:color w:val="333333"/>
          <w:spacing w:val="0"/>
          <w:sz w:val="17"/>
          <w:szCs w:val="17"/>
          <w:bdr w:val="none" w:color="auto" w:sz="0" w:space="0"/>
        </w:rPr>
        <w:t>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Style w:val="5"/>
          <w:rFonts w:hint="eastAsia" w:ascii="微软雅黑" w:hAnsi="微软雅黑" w:eastAsia="微软雅黑" w:cs="微软雅黑"/>
          <w:i w:val="0"/>
          <w:caps w:val="0"/>
          <w:color w:val="000000"/>
          <w:spacing w:val="0"/>
          <w:kern w:val="0"/>
          <w:sz w:val="26"/>
          <w:szCs w:val="26"/>
          <w:bdr w:val="none" w:color="auto" w:sz="0" w:space="0"/>
          <w:shd w:val="clear" w:fill="EEEEEE"/>
          <w:lang w:val="en-US" w:eastAsia="zh-CN" w:bidi="ar"/>
        </w:rPr>
        <w:t>二、拟接收调剂专业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15" w:lineRule="atLeast"/>
        <w:ind w:left="0" w:right="0" w:firstLine="420"/>
        <w:jc w:val="both"/>
      </w:pPr>
      <w:r>
        <w:rPr>
          <w:rFonts w:hint="eastAsia" w:ascii="黑体" w:hAnsi="宋体" w:eastAsia="黑体" w:cs="黑体"/>
          <w:i w:val="0"/>
          <w:caps w:val="0"/>
          <w:color w:val="000000"/>
          <w:spacing w:val="0"/>
          <w:sz w:val="14"/>
          <w:szCs w:val="1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15" w:lineRule="atLeast"/>
        <w:ind w:left="0" w:right="0" w:firstLine="420"/>
        <w:jc w:val="both"/>
      </w:pPr>
      <w:r>
        <w:rPr>
          <w:rFonts w:hint="eastAsia" w:ascii="黑体" w:hAnsi="宋体" w:eastAsia="黑体" w:cs="黑体"/>
          <w:i w:val="0"/>
          <w:caps w:val="0"/>
          <w:color w:val="000000"/>
          <w:spacing w:val="0"/>
          <w:sz w:val="14"/>
          <w:szCs w:val="14"/>
          <w:bdr w:val="none" w:color="auto" w:sz="0" w:space="0"/>
        </w:rPr>
        <w:t> （1）070302分析化学（全日制）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15" w:lineRule="atLeast"/>
        <w:ind w:left="0" w:right="0" w:firstLine="420"/>
        <w:jc w:val="both"/>
      </w:pPr>
      <w:r>
        <w:rPr>
          <w:rFonts w:hint="eastAsia" w:ascii="黑体" w:hAnsi="宋体" w:eastAsia="黑体" w:cs="黑体"/>
          <w:i w:val="0"/>
          <w:caps w:val="0"/>
          <w:color w:val="000000"/>
          <w:spacing w:val="0"/>
          <w:sz w:val="14"/>
          <w:szCs w:val="14"/>
          <w:bdr w:val="none" w:color="auto" w:sz="0" w:space="0"/>
        </w:rPr>
        <w:t> （2）071010生物化学与分子生物学（全日制）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15" w:lineRule="atLeast"/>
        <w:ind w:left="0" w:right="0" w:firstLine="420"/>
        <w:jc w:val="both"/>
      </w:pPr>
      <w:r>
        <w:rPr>
          <w:rFonts w:hint="eastAsia" w:ascii="微软雅黑" w:hAnsi="微软雅黑" w:eastAsia="微软雅黑" w:cs="微软雅黑"/>
          <w:i w:val="0"/>
          <w:caps w:val="0"/>
          <w:color w:val="333333"/>
          <w:spacing w:val="0"/>
          <w:sz w:val="17"/>
          <w:szCs w:val="17"/>
          <w:bdr w:val="none" w:color="auto" w:sz="0" w:space="0"/>
        </w:rPr>
        <w:t>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Style w:val="5"/>
          <w:rFonts w:hint="eastAsia" w:ascii="微软雅黑" w:hAnsi="微软雅黑" w:eastAsia="微软雅黑" w:cs="微软雅黑"/>
          <w:i w:val="0"/>
          <w:caps w:val="0"/>
          <w:color w:val="000000"/>
          <w:spacing w:val="0"/>
          <w:kern w:val="0"/>
          <w:sz w:val="26"/>
          <w:szCs w:val="26"/>
          <w:bdr w:val="none" w:color="auto" w:sz="0" w:space="0"/>
          <w:shd w:val="clear" w:fill="EEEEEE"/>
          <w:lang w:val="en-US" w:eastAsia="zh-CN" w:bidi="ar"/>
        </w:rPr>
        <w:t>三、调剂要求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微软雅黑" w:hAnsi="微软雅黑" w:eastAsia="微软雅黑" w:cs="微软雅黑"/>
          <w:i w:val="0"/>
          <w:caps w:val="0"/>
          <w:color w:val="333333"/>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黑体" w:hAnsi="宋体" w:eastAsia="黑体" w:cs="黑体"/>
          <w:i w:val="0"/>
          <w:caps w:val="0"/>
          <w:color w:val="000000"/>
          <w:spacing w:val="0"/>
          <w:sz w:val="14"/>
          <w:szCs w:val="14"/>
          <w:bdr w:val="none" w:color="auto" w:sz="0" w:space="0"/>
        </w:rPr>
        <w:t>（1）初试成绩达到第一志愿报考专业（领域）和调入专业（领域）的2023</w:t>
      </w:r>
      <w:r>
        <w:rPr>
          <w:rFonts w:hint="eastAsia" w:ascii="黑体" w:hAnsi="宋体" w:eastAsia="黑体" w:cs="黑体"/>
          <w:i w:val="0"/>
          <w:caps w:val="0"/>
          <w:color w:val="333333"/>
          <w:spacing w:val="0"/>
          <w:sz w:val="14"/>
          <w:szCs w:val="14"/>
          <w:bdr w:val="none" w:color="auto" w:sz="0" w:space="0"/>
        </w:rPr>
        <w:t>年全国硕士研究生招生考试A类考生国家分数线。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黑体" w:hAnsi="宋体" w:eastAsia="黑体" w:cs="黑体"/>
          <w:i w:val="0"/>
          <w:caps w:val="0"/>
          <w:color w:val="000000"/>
          <w:spacing w:val="0"/>
          <w:sz w:val="14"/>
          <w:szCs w:val="14"/>
          <w:bdr w:val="none" w:color="auto" w:sz="0" w:space="0"/>
        </w:rPr>
        <w:t>（2）调入专业（领域）与第一志愿报考专业（领域）相同或相近。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黑体" w:hAnsi="宋体" w:eastAsia="黑体" w:cs="黑体"/>
          <w:i w:val="0"/>
          <w:caps w:val="0"/>
          <w:color w:val="000000"/>
          <w:spacing w:val="0"/>
          <w:sz w:val="14"/>
          <w:szCs w:val="14"/>
          <w:bdr w:val="none" w:color="auto" w:sz="0" w:space="0"/>
        </w:rPr>
        <w:t>（3）初试科目与调入专业（领域）初试科目应相同或相近，其中统考科目原则上应相同。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黑体" w:hAnsi="宋体" w:eastAsia="黑体" w:cs="黑体"/>
          <w:i w:val="0"/>
          <w:caps w:val="0"/>
          <w:color w:val="000000"/>
          <w:spacing w:val="0"/>
          <w:sz w:val="14"/>
          <w:szCs w:val="14"/>
          <w:bdr w:val="none" w:color="auto" w:sz="0" w:space="0"/>
        </w:rPr>
        <w:t>（4）满足教育部有关调剂的其它要求。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微软雅黑" w:hAnsi="微软雅黑" w:eastAsia="微软雅黑" w:cs="微软雅黑"/>
          <w:i w:val="0"/>
          <w:caps w:val="0"/>
          <w:color w:val="333333"/>
          <w:spacing w:val="0"/>
          <w:sz w:val="17"/>
          <w:szCs w:val="17"/>
          <w:bdr w:val="none" w:color="auto" w:sz="0" w:space="0"/>
        </w:rPr>
        <w:t>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Style w:val="5"/>
          <w:rFonts w:hint="eastAsia" w:ascii="微软雅黑" w:hAnsi="微软雅黑" w:eastAsia="微软雅黑" w:cs="微软雅黑"/>
          <w:i w:val="0"/>
          <w:caps w:val="0"/>
          <w:color w:val="000000"/>
          <w:spacing w:val="0"/>
          <w:kern w:val="0"/>
          <w:sz w:val="26"/>
          <w:szCs w:val="26"/>
          <w:bdr w:val="none" w:color="auto" w:sz="0" w:space="0"/>
          <w:shd w:val="clear" w:fill="EEEEEE"/>
          <w:lang w:val="en-US" w:eastAsia="zh-CN" w:bidi="ar"/>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微软雅黑" w:hAnsi="微软雅黑" w:eastAsia="微软雅黑" w:cs="微软雅黑"/>
          <w:i w:val="0"/>
          <w:caps w:val="0"/>
          <w:color w:val="333333"/>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黑体" w:hAnsi="宋体" w:eastAsia="黑体" w:cs="黑体"/>
          <w:i w:val="0"/>
          <w:caps w:val="0"/>
          <w:color w:val="000000"/>
          <w:spacing w:val="0"/>
          <w:sz w:val="14"/>
          <w:szCs w:val="14"/>
          <w:bdr w:val="none" w:color="auto" w:sz="0" w:space="0"/>
        </w:rPr>
        <w:t>（1）申请调剂考生须登录中国研究生招生信息网调剂系统进行报名（所有调剂考生必须通过研招网调剂系统，否则不能录取）。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黑体" w:hAnsi="宋体" w:eastAsia="黑体" w:cs="黑体"/>
          <w:i w:val="0"/>
          <w:caps w:val="0"/>
          <w:color w:val="000000"/>
          <w:spacing w:val="0"/>
          <w:sz w:val="14"/>
          <w:szCs w:val="14"/>
          <w:bdr w:val="none" w:color="auto" w:sz="0" w:space="0"/>
        </w:rPr>
        <w:t>（2）我校将对调剂考生资格进行审核后及时通知考生并安排复试，请保持通讯畅通，并及时登录我校研究生处网站（http://yjsc.lcu.edu.cn/</w:t>
      </w:r>
      <w:r>
        <w:rPr>
          <w:rFonts w:hint="eastAsia" w:ascii="黑体" w:hAnsi="宋体" w:eastAsia="黑体" w:cs="黑体"/>
          <w:i w:val="0"/>
          <w:caps w:val="0"/>
          <w:color w:val="333333"/>
          <w:spacing w:val="0"/>
          <w:sz w:val="14"/>
          <w:szCs w:val="14"/>
          <w:bdr w:val="none" w:color="auto" w:sz="0" w:space="0"/>
        </w:rPr>
        <w:t>）查看最新复试安排公告。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jc w:val="both"/>
      </w:pPr>
      <w:r>
        <w:rPr>
          <w:rFonts w:hint="eastAsia" w:ascii="微软雅黑" w:hAnsi="微软雅黑" w:eastAsia="微软雅黑" w:cs="微软雅黑"/>
          <w:i w:val="0"/>
          <w:caps w:val="0"/>
          <w:color w:val="333333"/>
          <w:spacing w:val="0"/>
          <w:sz w:val="17"/>
          <w:szCs w:val="17"/>
          <w:bdr w:val="none" w:color="auto" w:sz="0" w:space="0"/>
        </w:rPr>
        <w:t>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left"/>
        <w:rPr>
          <w:rFonts w:hint="eastAsia" w:ascii="微软雅黑" w:hAnsi="微软雅黑" w:eastAsia="微软雅黑" w:cs="微软雅黑"/>
          <w:i w:val="0"/>
          <w:caps w:val="0"/>
          <w:color w:val="333333"/>
          <w:spacing w:val="0"/>
          <w:sz w:val="17"/>
          <w:szCs w:val="17"/>
        </w:rPr>
      </w:pPr>
      <w:r>
        <w:rPr>
          <w:rStyle w:val="5"/>
          <w:rFonts w:hint="eastAsia" w:ascii="微软雅黑" w:hAnsi="微软雅黑" w:eastAsia="微软雅黑" w:cs="微软雅黑"/>
          <w:i w:val="0"/>
          <w:caps w:val="0"/>
          <w:color w:val="000000"/>
          <w:spacing w:val="0"/>
          <w:kern w:val="0"/>
          <w:sz w:val="26"/>
          <w:szCs w:val="26"/>
          <w:bdr w:val="none" w:color="auto" w:sz="0" w:space="0"/>
          <w:shd w:val="clear" w:fill="EEEEEE"/>
          <w:lang w:val="en-US" w:eastAsia="zh-CN" w:bidi="ar"/>
        </w:rPr>
        <w:t>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pPr>
      <w:r>
        <w:rPr>
          <w:rFonts w:hint="eastAsia" w:ascii="微软雅黑" w:hAnsi="微软雅黑" w:eastAsia="微软雅黑" w:cs="微软雅黑"/>
          <w:i w:val="0"/>
          <w:caps w:val="0"/>
          <w:color w:val="333333"/>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pPr>
      <w:r>
        <w:rPr>
          <w:rFonts w:hint="eastAsia" w:ascii="黑体" w:hAnsi="宋体" w:eastAsia="黑体" w:cs="黑体"/>
          <w:i w:val="0"/>
          <w:caps w:val="0"/>
          <w:color w:val="000000"/>
          <w:spacing w:val="0"/>
          <w:sz w:val="14"/>
          <w:szCs w:val="14"/>
          <w:bdr w:val="none" w:color="auto" w:sz="0" w:space="0"/>
        </w:rPr>
        <w:t>联 系 人：陈老师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pPr>
      <w:r>
        <w:rPr>
          <w:rFonts w:hint="eastAsia" w:ascii="黑体" w:hAnsi="宋体" w:eastAsia="黑体" w:cs="黑体"/>
          <w:i w:val="0"/>
          <w:caps w:val="0"/>
          <w:color w:val="000000"/>
          <w:spacing w:val="0"/>
          <w:sz w:val="14"/>
          <w:szCs w:val="14"/>
          <w:bdr w:val="none" w:color="auto" w:sz="0" w:space="0"/>
        </w:rPr>
        <w:t>联系方式：15020602307   chenhongyan1123@163.com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0" w:lineRule="atLeast"/>
        <w:ind w:left="0" w:right="0" w:firstLine="480"/>
      </w:pPr>
      <w:r>
        <w:rPr>
          <w:rFonts w:hint="eastAsia" w:ascii="微软雅黑" w:hAnsi="微软雅黑" w:eastAsia="微软雅黑" w:cs="微软雅黑"/>
          <w:i w:val="0"/>
          <w:caps w:val="0"/>
          <w:color w:val="333333"/>
          <w:spacing w:val="0"/>
          <w:sz w:val="17"/>
          <w:szCs w:val="17"/>
          <w:bdr w:val="none" w:color="auto" w:sz="0" w:space="0"/>
        </w:rPr>
        <w:t> </w:t>
      </w:r>
    </w:p>
    <w:p>
      <w:pPr>
        <w:keepNext w:val="0"/>
        <w:keepLines w:val="0"/>
        <w:widowControl/>
        <w:suppressLineNumbers w:val="0"/>
        <w:pBdr>
          <w:top w:val="single" w:color="CCCCCC" w:sz="4" w:space="2"/>
          <w:left w:val="single" w:color="CCCCCC" w:sz="4" w:space="5"/>
          <w:bottom w:val="single" w:color="CCCCCC" w:sz="4" w:space="2"/>
          <w:right w:val="single" w:color="CCCCCC" w:sz="4" w:space="5"/>
        </w:pBdr>
        <w:shd w:val="clear" w:fill="EEEEEE"/>
        <w:spacing w:before="0" w:beforeAutospacing="0" w:after="0" w:afterAutospacing="0" w:line="18" w:lineRule="atLeast"/>
        <w:ind w:left="0" w:right="0" w:firstLine="0"/>
        <w:jc w:val="center"/>
        <w:rPr>
          <w:rFonts w:hint="eastAsia" w:ascii="微软雅黑" w:hAnsi="微软雅黑" w:eastAsia="微软雅黑" w:cs="微软雅黑"/>
          <w:i w:val="0"/>
          <w:caps w:val="0"/>
          <w:color w:val="333333"/>
          <w:spacing w:val="0"/>
          <w:sz w:val="17"/>
          <w:szCs w:val="17"/>
        </w:rPr>
      </w:pPr>
      <w:r>
        <w:rPr>
          <w:rStyle w:val="5"/>
          <w:rFonts w:ascii="楷体" w:hAnsi="楷体" w:eastAsia="楷体" w:cs="楷体"/>
          <w:i w:val="0"/>
          <w:caps w:val="0"/>
          <w:color w:val="90000A"/>
          <w:spacing w:val="0"/>
          <w:kern w:val="0"/>
          <w:sz w:val="20"/>
          <w:szCs w:val="20"/>
          <w:bdr w:val="none" w:color="auto" w:sz="0" w:space="0"/>
          <w:shd w:val="clear" w:fill="EEEEEE"/>
          <w:lang w:val="en-US" w:eastAsia="zh-CN" w:bidi="ar"/>
        </w:rPr>
        <w:t>生物制药研究院全体师生会秉承“敬业、博学、求实、创新”的聊大精神和“诚信为本、用心做药”的平台理念，共同努力为山东乃至全国的药物研发做出更大贡献，欢迎你的加入！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A37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2023-05-23T06:42:20Z</dcterms:created>
  <dc:creator>86188</dc:creator>
  <cp:lastModifiedBy>随风而动</cp:lastModifiedBy>
  <dcterms:modified xsi:type="dcterms:W3CDTF">2023-05-23T06:42:21Z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