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莆田学院环境与生物工程学院2023年硕士研究生招生第四批调剂复试结果及拟录取名单公示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时间：2023-04-24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368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/>
      </w:pPr>
      <w:r>
        <w:rPr>
          <w:rFonts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  <w:r>
        <w:rPr>
          <w:rFonts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根据我校《</w:t>
      </w: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2023年硕士研究生招生复试录取工作办法》、招生学院《2023年硕士研究生招生复试录取方案》以及复试情况，现将环境与生物工程学院2023年硕士研究生招生第四批调剂复试结果和拟录取名单（附后）进行公示，公示期从即日起10个工作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如有疑义，请联系研究生处招生管理科。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联系人：许老师，电话：0594-2892089，邮箱：yjszs@ptu.edu.cn。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  <w:r>
        <w:rPr>
          <w:rStyle w:val="6"/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特别说明：</w:t>
      </w: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备注“候补”名单为在拟录取名单里的考生放弃拟录取资格的情况下能按序补录。因候补录取具有很大的不确定性，考生因选择等候候补录取名额而导致丧失调剂机会的后果，自行负责。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  <w:r>
        <w:rPr>
          <w:rStyle w:val="6"/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附：</w:t>
      </w: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莆田学院环境与生物工程学院2023年硕士研究生招生第四批调剂复试结果及拟录取名单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  <w:jc w:val="right"/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莆田学院研究生招生工作领导小组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  <w:jc w:val="right"/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2023年4月24日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110"/>
        <w:jc w:val="righ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  <w:r>
        <w:rPr>
          <w:rStyle w:val="6"/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附：</w:t>
      </w:r>
    </w:p>
    <w:tbl>
      <w:tblPr>
        <w:tblW w:w="90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9"/>
        <w:gridCol w:w="822"/>
        <w:gridCol w:w="1423"/>
        <w:gridCol w:w="822"/>
        <w:gridCol w:w="822"/>
        <w:gridCol w:w="535"/>
        <w:gridCol w:w="655"/>
        <w:gridCol w:w="489"/>
        <w:gridCol w:w="655"/>
        <w:gridCol w:w="889"/>
        <w:gridCol w:w="823"/>
        <w:gridCol w:w="65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ascii="方正公文小标宋" w:hAnsi="方正公文小标宋" w:eastAsia="方正公文小标宋" w:cs="方正公文小标宋"/>
                <w:sz w:val="19"/>
                <w:szCs w:val="19"/>
                <w:bdr w:val="none" w:color="auto" w:sz="0" w:space="0"/>
              </w:rPr>
              <w:t>莆田学院环境与生物工程学院</w:t>
            </w:r>
            <w:r>
              <w:rPr>
                <w:rStyle w:val="6"/>
                <w:rFonts w:hint="default" w:ascii="方正公文小标宋" w:hAnsi="方正公文小标宋" w:eastAsia="方正公文小标宋" w:cs="方正公文小标宋"/>
                <w:sz w:val="19"/>
                <w:szCs w:val="19"/>
                <w:bdr w:val="none" w:color="auto" w:sz="0" w:space="0"/>
              </w:rPr>
              <w:t>2023年硕士研究生招生第四批调剂复试结果及拟录取名单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  <w:r>
              <w:rPr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  <w:r>
              <w:rPr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复试</w:t>
            </w:r>
            <w:r>
              <w:rPr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5"/>
                <w:szCs w:val="15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复试成</w:t>
            </w:r>
            <w:r>
              <w:rPr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5"/>
                <w:szCs w:val="15"/>
                <w:bdr w:val="none" w:color="auto" w:sz="0" w:space="0"/>
              </w:rPr>
              <w:t>绩权重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初试</w:t>
            </w:r>
            <w:r>
              <w:rPr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5"/>
                <w:szCs w:val="15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合并</w:t>
            </w:r>
            <w:r>
              <w:rPr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总成绩</w:t>
            </w:r>
            <w:r>
              <w:rPr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5"/>
                <w:szCs w:val="15"/>
                <w:bdr w:val="none" w:color="auto" w:sz="0" w:space="0"/>
              </w:rPr>
              <w:t>取整</w:t>
            </w:r>
            <w:r>
              <w:rPr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1"/>
                <w:szCs w:val="11"/>
                <w:bdr w:val="none" w:color="auto" w:sz="0" w:space="0"/>
              </w:rPr>
              <w:t>（四舍五入）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  <w:r>
              <w:rPr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5"/>
                <w:szCs w:val="15"/>
                <w:bdr w:val="none" w:color="auto" w:sz="0" w:space="0"/>
              </w:rPr>
              <w:t>专业排名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林轩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110783123414560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085701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孟凡莉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106183201000713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085701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shd w:val="clear"/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杜建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103383210006102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085701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央措志玛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106193085905869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085701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候补1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毕恒铭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111173210019724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085701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60.52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候补2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5C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2023-05-16T02:45:48Z</dcterms:created>
  <dc:creator>86188</dc:creator>
  <cp:lastModifiedBy>随风而动</cp:lastModifiedBy>
  <dcterms:modified xsi:type="dcterms:W3CDTF">2023-05-16T02:45:50Z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