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rFonts w:ascii="微软雅黑" w:hAnsi="微软雅黑" w:eastAsia="微软雅黑" w:cs="微软雅黑"/>
          <w:b w:val="0"/>
          <w:bCs w:val="0"/>
          <w:color w:val="000000"/>
          <w:sz w:val="24"/>
          <w:szCs w:val="24"/>
        </w:rPr>
      </w:pPr>
      <w:r>
        <w:rPr>
          <w:rFonts w:hint="eastAsia" w:ascii="微软雅黑" w:hAnsi="微软雅黑" w:eastAsia="微软雅黑" w:cs="微软雅黑"/>
          <w:b w:val="0"/>
          <w:bCs w:val="0"/>
          <w:i w:val="0"/>
          <w:iCs w:val="0"/>
          <w:caps w:val="0"/>
          <w:color w:val="000000"/>
          <w:spacing w:val="0"/>
          <w:sz w:val="24"/>
          <w:szCs w:val="24"/>
          <w:bdr w:val="none" w:color="auto" w:sz="0" w:space="0"/>
        </w:rPr>
        <w:t>衡阳师范学院2023年硕士研究生调剂复试工作公告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rFonts w:hint="eastAsia" w:ascii="微软雅黑" w:hAnsi="微软雅黑" w:eastAsia="微软雅黑" w:cs="微软雅黑"/>
          <w:color w:val="999999"/>
          <w:sz w:val="14"/>
          <w:szCs w:val="14"/>
        </w:rPr>
      </w:pPr>
      <w:r>
        <w:rPr>
          <w:rFonts w:hint="eastAsia" w:ascii="微软雅黑" w:hAnsi="微软雅黑" w:eastAsia="微软雅黑" w:cs="微软雅黑"/>
          <w:i w:val="0"/>
          <w:iCs w:val="0"/>
          <w:caps w:val="0"/>
          <w:color w:val="999999"/>
          <w:spacing w:val="0"/>
          <w:sz w:val="14"/>
          <w:szCs w:val="14"/>
          <w:bdr w:val="none" w:color="auto" w:sz="0" w:space="0"/>
        </w:rPr>
        <w:t>作者： 时间：2023-04-04 点击数：11277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jc w:val="center"/>
        <w:rPr>
          <w:rFonts w:hint="eastAsia" w:ascii="宋体" w:hAnsi="宋体" w:eastAsia="宋体" w:cs="宋体"/>
          <w:b/>
          <w:bCs/>
          <w:sz w:val="36"/>
          <w:szCs w:val="3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ascii="Calibri" w:hAnsi="Calibri" w:cs="Calibri"/>
          <w:sz w:val="24"/>
          <w:szCs w:val="24"/>
        </w:rPr>
      </w:pPr>
      <w:r>
        <w:rPr>
          <w:rFonts w:ascii="仿宋" w:hAnsi="仿宋" w:eastAsia="仿宋" w:cs="仿宋"/>
          <w:i w:val="0"/>
          <w:iCs w:val="0"/>
          <w:caps w:val="0"/>
          <w:color w:val="000000"/>
          <w:spacing w:val="0"/>
          <w:sz w:val="28"/>
          <w:szCs w:val="28"/>
          <w:bdr w:val="none" w:color="auto" w:sz="0" w:space="0"/>
          <w:shd w:val="clear" w:fill="FFFFFF"/>
        </w:rPr>
        <w:t>根据我校</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年硕士研究生招生复试录取工作安排，现将我校</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年硕士研究生调剂复试工作相关安排公告如下：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62"/>
        <w:jc w:val="both"/>
        <w:rPr>
          <w:rFonts w:hint="default" w:ascii="Calibri" w:hAnsi="Calibri" w:cs="Calibri"/>
          <w:sz w:val="24"/>
          <w:szCs w:val="24"/>
        </w:rPr>
      </w:pPr>
      <w:r>
        <w:rPr>
          <w:rStyle w:val="6"/>
          <w:rFonts w:hint="eastAsia" w:ascii="仿宋" w:hAnsi="仿宋" w:eastAsia="仿宋" w:cs="仿宋"/>
          <w:i w:val="0"/>
          <w:iCs w:val="0"/>
          <w:caps w:val="0"/>
          <w:color w:val="333333"/>
          <w:spacing w:val="0"/>
          <w:sz w:val="28"/>
          <w:szCs w:val="28"/>
          <w:bdr w:val="none" w:color="auto" w:sz="0" w:space="0"/>
          <w:shd w:val="clear" w:fill="FFFFFF"/>
        </w:rPr>
        <w:t>一、接收调剂生的基本要求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Fonts w:hint="eastAsia" w:ascii="仿宋" w:hAnsi="仿宋" w:eastAsia="仿宋" w:cs="仿宋"/>
          <w:i w:val="0"/>
          <w:iCs w:val="0"/>
          <w:caps w:val="0"/>
          <w:color w:val="000000"/>
          <w:spacing w:val="0"/>
          <w:sz w:val="28"/>
          <w:szCs w:val="28"/>
          <w:bdr w:val="none" w:color="auto" w:sz="0" w:space="0"/>
          <w:shd w:val="clear" w:fill="FFFFFF"/>
        </w:rPr>
        <w:t>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w:t>
      </w:r>
      <w:r>
        <w:rPr>
          <w:rFonts w:hint="eastAsia" w:ascii="仿宋" w:hAnsi="仿宋" w:eastAsia="仿宋" w:cs="仿宋"/>
          <w:i w:val="0"/>
          <w:iCs w:val="0"/>
          <w:caps w:val="0"/>
          <w:color w:val="000000"/>
          <w:spacing w:val="0"/>
          <w:sz w:val="28"/>
          <w:szCs w:val="28"/>
          <w:bdr w:val="none" w:color="auto" w:sz="0" w:space="0"/>
          <w:shd w:val="clear" w:fill="FFFFFF"/>
        </w:rPr>
        <w:t>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w:t>
      </w:r>
      <w:r>
        <w:rPr>
          <w:rFonts w:hint="eastAsia" w:ascii="仿宋" w:hAnsi="仿宋" w:eastAsia="仿宋" w:cs="仿宋"/>
          <w:i w:val="0"/>
          <w:iCs w:val="0"/>
          <w:caps w:val="0"/>
          <w:color w:val="000000"/>
          <w:spacing w:val="0"/>
          <w:sz w:val="28"/>
          <w:szCs w:val="28"/>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eastAsia" w:ascii="仿宋" w:hAnsi="仿宋" w:eastAsia="仿宋" w:cs="仿宋"/>
          <w:i w:val="0"/>
          <w:iCs w:val="0"/>
          <w:caps w:val="0"/>
          <w:color w:val="000000"/>
          <w:spacing w:val="0"/>
          <w:sz w:val="28"/>
          <w:szCs w:val="28"/>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5.</w:t>
      </w:r>
      <w:r>
        <w:rPr>
          <w:rFonts w:hint="eastAsia" w:ascii="仿宋" w:hAnsi="仿宋" w:eastAsia="仿宋" w:cs="仿宋"/>
          <w:i w:val="0"/>
          <w:iCs w:val="0"/>
          <w:caps w:val="0"/>
          <w:color w:val="000000"/>
          <w:spacing w:val="0"/>
          <w:sz w:val="28"/>
          <w:szCs w:val="28"/>
          <w:bdr w:val="none" w:color="auto" w:sz="0" w:space="0"/>
          <w:shd w:val="clear" w:fill="FFFFFF"/>
        </w:rPr>
        <w:t>有专门规定的情况从其规定（详见《</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年全国硕士研究生招生工作管理规定》第六十二条）。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62"/>
        <w:jc w:val="both"/>
        <w:rPr>
          <w:rFonts w:hint="default" w:ascii="Calibri" w:hAnsi="Calibri" w:cs="Calibri"/>
          <w:sz w:val="24"/>
          <w:szCs w:val="24"/>
        </w:rPr>
      </w:pPr>
      <w:r>
        <w:rPr>
          <w:rStyle w:val="6"/>
          <w:rFonts w:hint="eastAsia" w:ascii="仿宋" w:hAnsi="仿宋" w:eastAsia="仿宋" w:cs="仿宋"/>
          <w:i w:val="0"/>
          <w:iCs w:val="0"/>
          <w:caps w:val="0"/>
          <w:color w:val="333333"/>
          <w:spacing w:val="0"/>
          <w:sz w:val="28"/>
          <w:szCs w:val="28"/>
          <w:bdr w:val="none" w:color="auto" w:sz="0" w:space="0"/>
          <w:shd w:val="clear" w:fill="FFFFFF"/>
        </w:rPr>
        <w:t>二、拟调剂专业与复试名单确定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1.</w:t>
      </w:r>
      <w:r>
        <w:rPr>
          <w:rFonts w:hint="eastAsia" w:ascii="仿宋" w:hAnsi="仿宋" w:eastAsia="仿宋" w:cs="仿宋"/>
          <w:i w:val="0"/>
          <w:iCs w:val="0"/>
          <w:caps w:val="0"/>
          <w:color w:val="333333"/>
          <w:spacing w:val="0"/>
          <w:sz w:val="28"/>
          <w:szCs w:val="28"/>
          <w:bdr w:val="none" w:color="auto" w:sz="0" w:space="0"/>
          <w:shd w:val="clear" w:fill="FFFFFF"/>
        </w:rPr>
        <w:t>各培养学院拟调剂专业如下表所示（调剂指标最终指标以学校根据各学院第一志愿考生上线数及下达的招生指标数确定）：</w:t>
      </w:r>
    </w:p>
    <w:tbl>
      <w:tblPr>
        <w:tblW w:w="11500" w:type="dxa"/>
        <w:jc w:val="center"/>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Layout w:type="autofit"/>
        <w:tblCellMar>
          <w:top w:w="0" w:type="dxa"/>
          <w:left w:w="0" w:type="dxa"/>
          <w:bottom w:w="0" w:type="dxa"/>
          <w:right w:w="0" w:type="dxa"/>
        </w:tblCellMar>
      </w:tblPr>
      <w:tblGrid>
        <w:gridCol w:w="858"/>
        <w:gridCol w:w="2431"/>
        <w:gridCol w:w="1567"/>
        <w:gridCol w:w="1800"/>
        <w:gridCol w:w="2749"/>
        <w:gridCol w:w="2095"/>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700" w:hRule="atLeast"/>
          <w:jc w:val="center"/>
        </w:trPr>
        <w:tc>
          <w:tcPr>
            <w:tcW w:w="68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类型</w:t>
            </w:r>
          </w:p>
        </w:tc>
        <w:tc>
          <w:tcPr>
            <w:tcW w:w="194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学位点所在学院</w:t>
            </w:r>
          </w:p>
        </w:tc>
        <w:tc>
          <w:tcPr>
            <w:tcW w:w="125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专业代码</w:t>
            </w:r>
          </w:p>
        </w:tc>
        <w:tc>
          <w:tcPr>
            <w:tcW w:w="144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专业名称</w:t>
            </w:r>
          </w:p>
        </w:tc>
        <w:tc>
          <w:tcPr>
            <w:tcW w:w="220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研究方向</w:t>
            </w:r>
          </w:p>
        </w:tc>
        <w:tc>
          <w:tcPr>
            <w:tcW w:w="167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联系方式</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学硕</w:t>
            </w:r>
          </w:p>
        </w:tc>
        <w:tc>
          <w:tcPr>
            <w:tcW w:w="194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教育科学学院</w:t>
            </w:r>
          </w:p>
        </w:tc>
        <w:tc>
          <w:tcPr>
            <w:tcW w:w="12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040100</w:t>
            </w:r>
          </w:p>
        </w:tc>
        <w:tc>
          <w:tcPr>
            <w:tcW w:w="144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教育学</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教育学原理</w:t>
            </w:r>
          </w:p>
        </w:tc>
        <w:tc>
          <w:tcPr>
            <w:tcW w:w="1676"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0734-8484945</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02</w:t>
            </w:r>
            <w:r>
              <w:rPr>
                <w:rFonts w:hint="eastAsia" w:ascii="仿宋" w:hAnsi="仿宋" w:eastAsia="仿宋" w:cs="仿宋"/>
                <w:b w:val="0"/>
                <w:bCs w:val="0"/>
                <w:i w:val="0"/>
                <w:iCs w:val="0"/>
                <w:color w:val="000000"/>
                <w:kern w:val="0"/>
                <w:sz w:val="24"/>
                <w:szCs w:val="24"/>
                <w:u w:val="none"/>
                <w:bdr w:val="none" w:color="auto" w:sz="0" w:space="0"/>
                <w:lang w:val="en-US" w:eastAsia="zh-CN" w:bidi="ar"/>
              </w:rPr>
              <w:t>课程与教学论</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06</w:t>
            </w:r>
            <w:r>
              <w:rPr>
                <w:rFonts w:hint="eastAsia" w:ascii="仿宋" w:hAnsi="仿宋" w:eastAsia="仿宋" w:cs="仿宋"/>
                <w:b w:val="0"/>
                <w:bCs w:val="0"/>
                <w:i w:val="0"/>
                <w:iCs w:val="0"/>
                <w:color w:val="000000"/>
                <w:kern w:val="0"/>
                <w:sz w:val="24"/>
                <w:szCs w:val="24"/>
                <w:u w:val="none"/>
                <w:bdr w:val="none" w:color="auto" w:sz="0" w:space="0"/>
                <w:lang w:val="en-US" w:eastAsia="zh-CN" w:bidi="ar"/>
              </w:rPr>
              <w:t>高等教育学</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计算机科学与技术学院</w:t>
            </w:r>
          </w:p>
        </w:tc>
        <w:tc>
          <w:tcPr>
            <w:tcW w:w="12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083900</w:t>
            </w:r>
          </w:p>
        </w:tc>
        <w:tc>
          <w:tcPr>
            <w:tcW w:w="144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网络空间安全</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系统安全理论与数据分析</w:t>
            </w:r>
          </w:p>
        </w:tc>
        <w:tc>
          <w:tcPr>
            <w:tcW w:w="1676"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15874115466</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02</w:t>
            </w:r>
            <w:r>
              <w:rPr>
                <w:rFonts w:hint="eastAsia" w:ascii="仿宋" w:hAnsi="仿宋" w:eastAsia="仿宋" w:cs="仿宋"/>
                <w:b w:val="0"/>
                <w:bCs w:val="0"/>
                <w:i w:val="0"/>
                <w:iCs w:val="0"/>
                <w:color w:val="000000"/>
                <w:kern w:val="0"/>
                <w:sz w:val="24"/>
                <w:szCs w:val="24"/>
                <w:u w:val="none"/>
                <w:bdr w:val="none" w:color="auto" w:sz="0" w:space="0"/>
                <w:lang w:val="en-US" w:eastAsia="zh-CN" w:bidi="ar"/>
              </w:rPr>
              <w:t>密码理论与应用</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数学与统计学院</w:t>
            </w: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03</w:t>
            </w:r>
            <w:r>
              <w:rPr>
                <w:rFonts w:hint="eastAsia" w:ascii="仿宋" w:hAnsi="仿宋" w:eastAsia="仿宋" w:cs="仿宋"/>
                <w:b w:val="0"/>
                <w:bCs w:val="0"/>
                <w:i w:val="0"/>
                <w:iCs w:val="0"/>
                <w:color w:val="000000"/>
                <w:kern w:val="0"/>
                <w:sz w:val="24"/>
                <w:szCs w:val="24"/>
                <w:u w:val="none"/>
                <w:bdr w:val="none" w:color="auto" w:sz="0" w:space="0"/>
                <w:lang w:val="en-US" w:eastAsia="zh-CN" w:bidi="ar"/>
              </w:rPr>
              <w:t>网络空间安全的数学基础</w:t>
            </w:r>
          </w:p>
        </w:tc>
        <w:tc>
          <w:tcPr>
            <w:tcW w:w="1676"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18973427634</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b w:val="0"/>
                <w:bCs w:val="0"/>
                <w:i w:val="0"/>
                <w:iCs w:val="0"/>
                <w:color w:val="000000"/>
                <w:kern w:val="0"/>
                <w:sz w:val="24"/>
                <w:szCs w:val="24"/>
                <w:u w:val="none"/>
                <w:bdr w:val="none" w:color="auto" w:sz="0" w:space="0"/>
                <w:lang w:val="en-US" w:eastAsia="zh-CN" w:bidi="ar"/>
              </w:rPr>
              <w:t>经济与管理学院</w:t>
            </w: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    </w:t>
            </w:r>
          </w:p>
        </w:tc>
        <w:tc>
          <w:tcPr>
            <w:tcW w:w="125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030500</w:t>
            </w:r>
          </w:p>
        </w:tc>
        <w:tc>
          <w:tcPr>
            <w:tcW w:w="144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马克思主义理论</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马克思主义基本原理</w:t>
            </w:r>
          </w:p>
        </w:tc>
        <w:tc>
          <w:tcPr>
            <w:tcW w:w="1676"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13787709983</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地理与旅游学院</w:t>
            </w:r>
          </w:p>
        </w:tc>
        <w:tc>
          <w:tcPr>
            <w:tcW w:w="125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083300</w:t>
            </w:r>
          </w:p>
        </w:tc>
        <w:tc>
          <w:tcPr>
            <w:tcW w:w="144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城乡规划学</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不区分研究方向</w:t>
            </w:r>
          </w:p>
        </w:tc>
        <w:tc>
          <w:tcPr>
            <w:tcW w:w="1676"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kern w:val="0"/>
                <w:sz w:val="24"/>
                <w:szCs w:val="24"/>
                <w:bdr w:val="none" w:color="auto" w:sz="0" w:space="0"/>
                <w:lang w:val="en-US" w:eastAsia="zh-CN" w:bidi="ar"/>
              </w:rPr>
              <w:t>0734-8486684</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专硕</w:t>
            </w:r>
          </w:p>
        </w:tc>
        <w:tc>
          <w:tcPr>
            <w:tcW w:w="194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教育科学学院</w:t>
            </w:r>
          </w:p>
        </w:tc>
        <w:tc>
          <w:tcPr>
            <w:tcW w:w="125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045101</w:t>
            </w:r>
          </w:p>
        </w:tc>
        <w:tc>
          <w:tcPr>
            <w:tcW w:w="144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教育管理</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不区分研究方向</w:t>
            </w:r>
          </w:p>
        </w:tc>
        <w:tc>
          <w:tcPr>
            <w:tcW w:w="1676"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0734-8484945</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物理与电子工程学院</w:t>
            </w:r>
          </w:p>
        </w:tc>
        <w:tc>
          <w:tcPr>
            <w:tcW w:w="12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085400</w:t>
            </w:r>
          </w:p>
        </w:tc>
        <w:tc>
          <w:tcPr>
            <w:tcW w:w="144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电子信息</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新一代电子信息技术</w:t>
            </w:r>
          </w:p>
        </w:tc>
        <w:tc>
          <w:tcPr>
            <w:tcW w:w="1676"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19386510809</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08</w:t>
            </w:r>
            <w:r>
              <w:rPr>
                <w:rFonts w:hint="eastAsia" w:ascii="仿宋" w:hAnsi="仿宋" w:eastAsia="仿宋" w:cs="仿宋"/>
                <w:b w:val="0"/>
                <w:bCs w:val="0"/>
                <w:i w:val="0"/>
                <w:iCs w:val="0"/>
                <w:color w:val="000000"/>
                <w:kern w:val="0"/>
                <w:sz w:val="24"/>
                <w:szCs w:val="24"/>
                <w:u w:val="none"/>
                <w:bdr w:val="none" w:color="auto" w:sz="0" w:space="0"/>
                <w:lang w:val="en-US" w:eastAsia="zh-CN" w:bidi="ar"/>
              </w:rPr>
              <w:t>光电信息工程</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化学与材料科学学院</w:t>
            </w:r>
          </w:p>
        </w:tc>
        <w:tc>
          <w:tcPr>
            <w:tcW w:w="12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085600</w:t>
            </w:r>
          </w:p>
        </w:tc>
        <w:tc>
          <w:tcPr>
            <w:tcW w:w="144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材料与化工</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材料工程</w:t>
            </w:r>
          </w:p>
        </w:tc>
        <w:tc>
          <w:tcPr>
            <w:tcW w:w="1676"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15211850153</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02</w:t>
            </w:r>
            <w:r>
              <w:rPr>
                <w:rFonts w:hint="eastAsia" w:ascii="仿宋" w:hAnsi="仿宋" w:eastAsia="仿宋" w:cs="仿宋"/>
                <w:b w:val="0"/>
                <w:bCs w:val="0"/>
                <w:i w:val="0"/>
                <w:iCs w:val="0"/>
                <w:color w:val="000000"/>
                <w:kern w:val="0"/>
                <w:sz w:val="24"/>
                <w:szCs w:val="24"/>
                <w:u w:val="none"/>
                <w:bdr w:val="none" w:color="auto" w:sz="0" w:space="0"/>
                <w:lang w:val="en-US" w:eastAsia="zh-CN" w:bidi="ar"/>
              </w:rPr>
              <w:t>化学工程</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地理与旅游学院</w:t>
            </w:r>
          </w:p>
        </w:tc>
        <w:tc>
          <w:tcPr>
            <w:tcW w:w="125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125400</w:t>
            </w:r>
          </w:p>
        </w:tc>
        <w:tc>
          <w:tcPr>
            <w:tcW w:w="144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旅游管理</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不区分研究方向</w:t>
            </w:r>
          </w:p>
        </w:tc>
        <w:tc>
          <w:tcPr>
            <w:tcW w:w="1676"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0734-8486684</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新闻与传播学院</w:t>
            </w:r>
          </w:p>
        </w:tc>
        <w:tc>
          <w:tcPr>
            <w:tcW w:w="12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055200</w:t>
            </w:r>
          </w:p>
        </w:tc>
        <w:tc>
          <w:tcPr>
            <w:tcW w:w="144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新闻与传播</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品牌创意与文化传播</w:t>
            </w:r>
          </w:p>
        </w:tc>
        <w:tc>
          <w:tcPr>
            <w:tcW w:w="1676"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0734-8486679</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02</w:t>
            </w:r>
            <w:r>
              <w:rPr>
                <w:rFonts w:hint="eastAsia" w:ascii="仿宋" w:hAnsi="仿宋" w:eastAsia="仿宋" w:cs="仿宋"/>
                <w:b w:val="0"/>
                <w:bCs w:val="0"/>
                <w:i w:val="0"/>
                <w:iCs w:val="0"/>
                <w:color w:val="000000"/>
                <w:kern w:val="0"/>
                <w:sz w:val="24"/>
                <w:szCs w:val="24"/>
                <w:u w:val="none"/>
                <w:bdr w:val="none" w:color="auto" w:sz="0" w:space="0"/>
                <w:lang w:val="en-US" w:eastAsia="zh-CN" w:bidi="ar"/>
              </w:rPr>
              <w:t>新闻实务</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03</w:t>
            </w:r>
            <w:r>
              <w:rPr>
                <w:rFonts w:hint="eastAsia" w:ascii="仿宋" w:hAnsi="仿宋" w:eastAsia="仿宋" w:cs="仿宋"/>
                <w:b w:val="0"/>
                <w:bCs w:val="0"/>
                <w:i w:val="0"/>
                <w:iCs w:val="0"/>
                <w:color w:val="000000"/>
                <w:kern w:val="0"/>
                <w:sz w:val="24"/>
                <w:szCs w:val="24"/>
                <w:u w:val="none"/>
                <w:bdr w:val="none" w:color="auto" w:sz="0" w:space="0"/>
                <w:lang w:val="en-US" w:eastAsia="zh-CN" w:bidi="ar"/>
              </w:rPr>
              <w:t>网络与新媒体传播</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经济与管理学院</w:t>
            </w:r>
          </w:p>
        </w:tc>
        <w:tc>
          <w:tcPr>
            <w:tcW w:w="12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025400</w:t>
            </w:r>
          </w:p>
        </w:tc>
        <w:tc>
          <w:tcPr>
            <w:tcW w:w="144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国际商务</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农业国际商务运营</w:t>
            </w:r>
          </w:p>
        </w:tc>
        <w:tc>
          <w:tcPr>
            <w:tcW w:w="1676"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13787709983</w:t>
            </w: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2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4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02</w:t>
            </w:r>
            <w:r>
              <w:rPr>
                <w:rFonts w:hint="eastAsia" w:ascii="仿宋" w:hAnsi="仿宋" w:eastAsia="仿宋" w:cs="仿宋"/>
                <w:b w:val="0"/>
                <w:bCs w:val="0"/>
                <w:i w:val="0"/>
                <w:iCs w:val="0"/>
                <w:color w:val="000000"/>
                <w:kern w:val="0"/>
                <w:sz w:val="24"/>
                <w:szCs w:val="24"/>
                <w:u w:val="none"/>
                <w:bdr w:val="none" w:color="auto" w:sz="0" w:space="0"/>
                <w:lang w:val="en-US" w:eastAsia="zh-CN" w:bidi="ar"/>
              </w:rPr>
              <w:t>中小制造业国际商务运营</w:t>
            </w:r>
          </w:p>
        </w:tc>
        <w:tc>
          <w:tcPr>
            <w:tcW w:w="1676"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r>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687"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sz w:val="24"/>
                <w:szCs w:val="24"/>
              </w:rPr>
            </w:pPr>
          </w:p>
        </w:tc>
        <w:tc>
          <w:tcPr>
            <w:tcW w:w="194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外国语学院</w:t>
            </w:r>
          </w:p>
        </w:tc>
        <w:tc>
          <w:tcPr>
            <w:tcW w:w="125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055100</w:t>
            </w:r>
          </w:p>
        </w:tc>
        <w:tc>
          <w:tcPr>
            <w:tcW w:w="144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翻译</w:t>
            </w:r>
          </w:p>
        </w:tc>
        <w:tc>
          <w:tcPr>
            <w:tcW w:w="22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b w:val="0"/>
                <w:bCs w:val="0"/>
                <w:i w:val="0"/>
                <w:iCs w:val="0"/>
                <w:color w:val="000000"/>
                <w:kern w:val="0"/>
                <w:sz w:val="24"/>
                <w:szCs w:val="24"/>
                <w:u w:val="none"/>
                <w:bdr w:val="none" w:color="auto" w:sz="0" w:space="0"/>
                <w:lang w:val="en-US" w:eastAsia="zh-CN" w:bidi="ar"/>
              </w:rPr>
              <w:t>01</w:t>
            </w:r>
            <w:r>
              <w:rPr>
                <w:rFonts w:hint="eastAsia" w:ascii="仿宋" w:hAnsi="仿宋" w:eastAsia="仿宋" w:cs="仿宋"/>
                <w:b w:val="0"/>
                <w:bCs w:val="0"/>
                <w:i w:val="0"/>
                <w:iCs w:val="0"/>
                <w:color w:val="000000"/>
                <w:kern w:val="0"/>
                <w:sz w:val="24"/>
                <w:szCs w:val="24"/>
                <w:u w:val="none"/>
                <w:bdr w:val="none" w:color="auto" w:sz="0" w:space="0"/>
                <w:lang w:val="en-US" w:eastAsia="zh-CN" w:bidi="ar"/>
              </w:rPr>
              <w:t>英语笔译</w:t>
            </w:r>
          </w:p>
        </w:tc>
        <w:tc>
          <w:tcPr>
            <w:tcW w:w="1676"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center"/>
              <w:rPr>
                <w:rFonts w:hint="default" w:ascii="Calibri" w:hAnsi="Calibri" w:cs="Calibri"/>
                <w:sz w:val="21"/>
                <w:szCs w:val="21"/>
              </w:rPr>
            </w:pPr>
            <w:r>
              <w:rPr>
                <w:rFonts w:hint="default" w:ascii="Times New Roman" w:hAnsi="Times New Roman" w:cs="Times New Roman" w:eastAsiaTheme="minorEastAsia"/>
                <w:color w:val="000000"/>
                <w:kern w:val="0"/>
                <w:sz w:val="24"/>
                <w:szCs w:val="24"/>
                <w:bdr w:val="none" w:color="auto" w:sz="0" w:space="0"/>
                <w:lang w:val="en-US" w:eastAsia="zh-CN" w:bidi="ar"/>
              </w:rPr>
              <w:t>0734-8486626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14"/>
          <w:szCs w:val="14"/>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w:t>
      </w:r>
      <w:r>
        <w:rPr>
          <w:rFonts w:hint="eastAsia" w:ascii="仿宋" w:hAnsi="仿宋" w:eastAsia="仿宋" w:cs="仿宋"/>
          <w:i w:val="0"/>
          <w:iCs w:val="0"/>
          <w:caps w:val="0"/>
          <w:color w:val="333333"/>
          <w:spacing w:val="0"/>
          <w:sz w:val="28"/>
          <w:szCs w:val="28"/>
          <w:bdr w:val="none" w:color="auto" w:sz="0" w:space="0"/>
          <w:shd w:val="clear" w:fill="FFFFFF"/>
        </w:rPr>
        <w:t>请有意调剂到我校的考生关注</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中国研究生招生信息网</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调剂系统（</w:t>
      </w:r>
      <w:r>
        <w:rPr>
          <w:rFonts w:hint="default" w:ascii="Times New Roman" w:hAnsi="Times New Roman" w:eastAsia="微软雅黑" w:cs="Times New Roman"/>
          <w:i w:val="0"/>
          <w:iCs w:val="0"/>
          <w:caps w:val="0"/>
          <w:color w:val="0000FF"/>
          <w:spacing w:val="0"/>
          <w:sz w:val="28"/>
          <w:szCs w:val="28"/>
          <w:u w:val="none"/>
          <w:bdr w:val="none" w:color="auto" w:sz="0" w:space="0"/>
          <w:shd w:val="clear" w:fill="FFFFFF"/>
          <w:lang w:val="en-US"/>
        </w:rPr>
        <w:fldChar w:fldCharType="begin"/>
      </w:r>
      <w:r>
        <w:rPr>
          <w:rFonts w:hint="default" w:ascii="Times New Roman" w:hAnsi="Times New Roman" w:eastAsia="微软雅黑" w:cs="Times New Roman"/>
          <w:i w:val="0"/>
          <w:iCs w:val="0"/>
          <w:caps w:val="0"/>
          <w:color w:val="0000FF"/>
          <w:spacing w:val="0"/>
          <w:sz w:val="28"/>
          <w:szCs w:val="28"/>
          <w:u w:val="none"/>
          <w:bdr w:val="none" w:color="auto" w:sz="0" w:space="0"/>
          <w:shd w:val="clear" w:fill="FFFFFF"/>
          <w:lang w:val="en-US"/>
        </w:rPr>
        <w:instrText xml:space="preserve"> HYPERLINK "https://yz.chsi.com.cn/yztj/" </w:instrText>
      </w:r>
      <w:r>
        <w:rPr>
          <w:rFonts w:hint="default" w:ascii="Times New Roman" w:hAnsi="Times New Roman" w:eastAsia="微软雅黑" w:cs="Times New Roman"/>
          <w:i w:val="0"/>
          <w:iCs w:val="0"/>
          <w:caps w:val="0"/>
          <w:color w:val="0000FF"/>
          <w:spacing w:val="0"/>
          <w:sz w:val="28"/>
          <w:szCs w:val="28"/>
          <w:u w:val="none"/>
          <w:bdr w:val="none" w:color="auto" w:sz="0" w:space="0"/>
          <w:shd w:val="clear" w:fill="FFFFFF"/>
          <w:lang w:val="en-US"/>
        </w:rPr>
        <w:fldChar w:fldCharType="separate"/>
      </w:r>
      <w:r>
        <w:rPr>
          <w:rStyle w:val="7"/>
          <w:rFonts w:hint="default" w:ascii="Times New Roman" w:hAnsi="Times New Roman" w:eastAsia="微软雅黑" w:cs="Times New Roman"/>
          <w:i w:val="0"/>
          <w:iCs w:val="0"/>
          <w:caps w:val="0"/>
          <w:color w:val="333333"/>
          <w:spacing w:val="0"/>
          <w:sz w:val="28"/>
          <w:szCs w:val="28"/>
          <w:u w:val="none"/>
          <w:bdr w:val="none" w:color="auto" w:sz="0" w:space="0"/>
          <w:shd w:val="clear" w:fill="FFFFFF"/>
          <w:lang w:val="en-US"/>
        </w:rPr>
        <w:t>https://yz.chsi.com.cn/yztj/</w:t>
      </w:r>
      <w:r>
        <w:rPr>
          <w:rFonts w:hint="default" w:ascii="Times New Roman" w:hAnsi="Times New Roman" w:eastAsia="微软雅黑" w:cs="Times New Roman"/>
          <w:i w:val="0"/>
          <w:iCs w:val="0"/>
          <w:caps w:val="0"/>
          <w:color w:val="0000FF"/>
          <w:spacing w:val="0"/>
          <w:sz w:val="28"/>
          <w:szCs w:val="28"/>
          <w:u w:val="none"/>
          <w:bdr w:val="none" w:color="auto" w:sz="0" w:space="0"/>
          <w:shd w:val="clear" w:fill="FFFFFF"/>
          <w:lang w:val="en-US"/>
        </w:rPr>
        <w:fldChar w:fldCharType="end"/>
      </w:r>
      <w:r>
        <w:rPr>
          <w:rFonts w:hint="eastAsia" w:ascii="仿宋" w:hAnsi="仿宋" w:eastAsia="仿宋" w:cs="仿宋"/>
          <w:i w:val="0"/>
          <w:iCs w:val="0"/>
          <w:caps w:val="0"/>
          <w:color w:val="333333"/>
          <w:spacing w:val="0"/>
          <w:sz w:val="28"/>
          <w:szCs w:val="28"/>
          <w:bdr w:val="none" w:color="auto" w:sz="0" w:space="0"/>
          <w:shd w:val="clear" w:fill="FFFFFF"/>
        </w:rPr>
        <w:t>），</w:t>
      </w:r>
      <w:r>
        <w:rPr>
          <w:rFonts w:hint="eastAsia" w:ascii="仿宋" w:hAnsi="仿宋" w:eastAsia="仿宋" w:cs="仿宋"/>
          <w:i w:val="0"/>
          <w:iCs w:val="0"/>
          <w:caps w:val="0"/>
          <w:color w:val="000000"/>
          <w:spacing w:val="0"/>
          <w:sz w:val="28"/>
          <w:szCs w:val="28"/>
          <w:bdr w:val="none" w:color="auto" w:sz="0" w:space="0"/>
          <w:shd w:val="clear" w:fill="FFFFFF"/>
        </w:rPr>
        <w:t>我校调剂系统将于</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eastAsia" w:ascii="仿宋" w:hAnsi="仿宋" w:eastAsia="仿宋" w:cs="仿宋"/>
          <w:i w:val="0"/>
          <w:iCs w:val="0"/>
          <w:caps w:val="0"/>
          <w:color w:val="000000"/>
          <w:spacing w:val="0"/>
          <w:sz w:val="28"/>
          <w:szCs w:val="28"/>
          <w:bdr w:val="none" w:color="auto" w:sz="0" w:space="0"/>
          <w:shd w:val="clear" w:fill="FFFFFF"/>
        </w:rPr>
        <w:t>月</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w:t>
      </w:r>
      <w:r>
        <w:rPr>
          <w:rFonts w:hint="eastAsia" w:ascii="仿宋" w:hAnsi="仿宋" w:eastAsia="仿宋" w:cs="仿宋"/>
          <w:i w:val="0"/>
          <w:iCs w:val="0"/>
          <w:caps w:val="0"/>
          <w:color w:val="000000"/>
          <w:spacing w:val="0"/>
          <w:sz w:val="28"/>
          <w:szCs w:val="28"/>
          <w:bdr w:val="none" w:color="auto" w:sz="0" w:space="0"/>
          <w:shd w:val="clear" w:fill="FFFFFF"/>
        </w:rPr>
        <w:t>日</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00:00</w:t>
      </w:r>
      <w:r>
        <w:rPr>
          <w:rFonts w:hint="eastAsia" w:ascii="仿宋" w:hAnsi="仿宋" w:eastAsia="仿宋" w:cs="仿宋"/>
          <w:i w:val="0"/>
          <w:iCs w:val="0"/>
          <w:caps w:val="0"/>
          <w:color w:val="000000"/>
          <w:spacing w:val="0"/>
          <w:sz w:val="28"/>
          <w:szCs w:val="28"/>
          <w:bdr w:val="none" w:color="auto" w:sz="0" w:space="0"/>
          <w:shd w:val="clear" w:fill="FFFFFF"/>
        </w:rPr>
        <w:t>点开通，开通时间为：</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eastAsia" w:ascii="仿宋" w:hAnsi="仿宋" w:eastAsia="仿宋" w:cs="仿宋"/>
          <w:i w:val="0"/>
          <w:iCs w:val="0"/>
          <w:caps w:val="0"/>
          <w:color w:val="000000"/>
          <w:spacing w:val="0"/>
          <w:sz w:val="28"/>
          <w:szCs w:val="28"/>
          <w:bdr w:val="none" w:color="auto" w:sz="0" w:space="0"/>
          <w:shd w:val="clear" w:fill="FFFFFF"/>
        </w:rPr>
        <w:t>月</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w:t>
      </w:r>
      <w:r>
        <w:rPr>
          <w:rFonts w:hint="eastAsia" w:ascii="仿宋" w:hAnsi="仿宋" w:eastAsia="仿宋" w:cs="仿宋"/>
          <w:i w:val="0"/>
          <w:iCs w:val="0"/>
          <w:caps w:val="0"/>
          <w:color w:val="000000"/>
          <w:spacing w:val="0"/>
          <w:sz w:val="28"/>
          <w:szCs w:val="28"/>
          <w:bdr w:val="none" w:color="auto" w:sz="0" w:space="0"/>
          <w:shd w:val="clear" w:fill="FFFFFF"/>
        </w:rPr>
        <w:t>日</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0:00 - 12:00</w:t>
      </w:r>
      <w:r>
        <w:rPr>
          <w:rFonts w:hint="eastAsia" w:ascii="仿宋" w:hAnsi="仿宋" w:eastAsia="仿宋" w:cs="仿宋"/>
          <w:i w:val="0"/>
          <w:iCs w:val="0"/>
          <w:caps w:val="0"/>
          <w:color w:val="000000"/>
          <w:spacing w:val="0"/>
          <w:sz w:val="28"/>
          <w:szCs w:val="28"/>
          <w:bdr w:val="none" w:color="auto" w:sz="0" w:space="0"/>
          <w:shd w:val="clear" w:fill="FFFFFF"/>
        </w:rPr>
        <w:t>（对调剂生源不足的专业适当延长时间）。在调剂系统开通期间，考生可填报志愿，请考生及时登录并申请调剂衡阳师范学院相关专业。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62"/>
        <w:jc w:val="both"/>
        <w:rPr>
          <w:rFonts w:hint="default" w:ascii="Calibri" w:hAnsi="Calibri" w:cs="Calibri"/>
          <w:sz w:val="24"/>
          <w:szCs w:val="24"/>
        </w:rPr>
      </w:pPr>
      <w:r>
        <w:rPr>
          <w:rStyle w:val="6"/>
          <w:rFonts w:hint="eastAsia" w:ascii="仿宋" w:hAnsi="仿宋" w:eastAsia="仿宋" w:cs="仿宋"/>
          <w:i w:val="0"/>
          <w:iCs w:val="0"/>
          <w:caps w:val="0"/>
          <w:color w:val="333333"/>
          <w:spacing w:val="0"/>
          <w:sz w:val="28"/>
          <w:szCs w:val="28"/>
          <w:bdr w:val="none" w:color="auto" w:sz="0" w:space="0"/>
          <w:shd w:val="clear" w:fill="FFFFFF"/>
        </w:rPr>
        <w:t>三、调剂生复试相关工作安排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1.</w:t>
      </w:r>
      <w:r>
        <w:rPr>
          <w:rFonts w:hint="eastAsia" w:ascii="仿宋" w:hAnsi="仿宋" w:eastAsia="仿宋" w:cs="仿宋"/>
          <w:i w:val="0"/>
          <w:iCs w:val="0"/>
          <w:caps w:val="0"/>
          <w:color w:val="333333"/>
          <w:spacing w:val="0"/>
          <w:sz w:val="28"/>
          <w:szCs w:val="28"/>
          <w:bdr w:val="none" w:color="auto" w:sz="0" w:space="0"/>
          <w:shd w:val="clear" w:fill="FFFFFF"/>
        </w:rPr>
        <w:t>我校根据各专业招生计划缺额情况和考生成绩以及其它能反映考生综合素质情况等因素进行审核筛选，择优确定拟调剂人选，并对选中考生发出复试通知。考生必须在规定时间内进行回复，不按时回复者视为放弃。确认复试的考生请按学院通知和要求按时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w:t>
      </w:r>
      <w:r>
        <w:rPr>
          <w:rFonts w:hint="eastAsia" w:ascii="仿宋" w:hAnsi="仿宋" w:eastAsia="仿宋" w:cs="仿宋"/>
          <w:i w:val="0"/>
          <w:iCs w:val="0"/>
          <w:caps w:val="0"/>
          <w:color w:val="333333"/>
          <w:spacing w:val="0"/>
          <w:sz w:val="28"/>
          <w:szCs w:val="28"/>
          <w:bdr w:val="none" w:color="auto" w:sz="0" w:space="0"/>
          <w:shd w:val="clear" w:fill="FFFFFF"/>
        </w:rPr>
        <w:t>请各位调剂考生仔细阅读《衡阳师范学院</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2023</w:t>
      </w:r>
      <w:r>
        <w:rPr>
          <w:rFonts w:hint="eastAsia" w:ascii="仿宋" w:hAnsi="仿宋" w:eastAsia="仿宋" w:cs="仿宋"/>
          <w:i w:val="0"/>
          <w:iCs w:val="0"/>
          <w:caps w:val="0"/>
          <w:color w:val="333333"/>
          <w:spacing w:val="0"/>
          <w:sz w:val="28"/>
          <w:szCs w:val="28"/>
          <w:bdr w:val="none" w:color="auto" w:sz="0" w:space="0"/>
          <w:shd w:val="clear" w:fill="FFFFFF"/>
        </w:rPr>
        <w:t>年硕士研究生复试、调剂和录取方案》（见衡阳师范研究生工作部网页）以及各培养单位发布的复试方案，了解复试流程与要求等。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3.</w:t>
      </w:r>
      <w:r>
        <w:rPr>
          <w:rFonts w:hint="eastAsia" w:ascii="仿宋" w:hAnsi="仿宋" w:eastAsia="仿宋" w:cs="仿宋"/>
          <w:i w:val="0"/>
          <w:iCs w:val="0"/>
          <w:caps w:val="0"/>
          <w:color w:val="333333"/>
          <w:spacing w:val="0"/>
          <w:sz w:val="28"/>
          <w:szCs w:val="28"/>
          <w:bdr w:val="none" w:color="auto" w:sz="0" w:space="0"/>
          <w:shd w:val="clear" w:fill="FFFFFF"/>
        </w:rPr>
        <w:t>调剂生复试后，我校将及时给出</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待录取通知</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，考生须及时查看并在</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24</w:t>
      </w:r>
      <w:r>
        <w:rPr>
          <w:rFonts w:hint="eastAsia" w:ascii="仿宋" w:hAnsi="仿宋" w:eastAsia="仿宋" w:cs="仿宋"/>
          <w:i w:val="0"/>
          <w:iCs w:val="0"/>
          <w:caps w:val="0"/>
          <w:color w:val="333333"/>
          <w:spacing w:val="0"/>
          <w:sz w:val="28"/>
          <w:szCs w:val="28"/>
          <w:bdr w:val="none" w:color="auto" w:sz="0" w:space="0"/>
          <w:shd w:val="clear" w:fill="FFFFFF"/>
        </w:rPr>
        <w:t>小时内接受</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待录取通知</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，否则视为自动放弃。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4.</w:t>
      </w:r>
      <w:r>
        <w:rPr>
          <w:rFonts w:hint="eastAsia" w:ascii="仿宋" w:hAnsi="仿宋" w:eastAsia="仿宋" w:cs="仿宋"/>
          <w:i w:val="0"/>
          <w:iCs w:val="0"/>
          <w:caps w:val="0"/>
          <w:color w:val="333333"/>
          <w:spacing w:val="0"/>
          <w:sz w:val="28"/>
          <w:szCs w:val="28"/>
          <w:bdr w:val="none" w:color="auto" w:sz="0" w:space="0"/>
          <w:shd w:val="clear" w:fill="FFFFFF"/>
        </w:rPr>
        <w:t>省级教育招生考试机构进行终审，如不符合政策，将取消录取。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62"/>
        <w:jc w:val="both"/>
        <w:rPr>
          <w:rFonts w:hint="default" w:ascii="Calibri" w:hAnsi="Calibri" w:cs="Calibri"/>
          <w:sz w:val="24"/>
          <w:szCs w:val="24"/>
        </w:rPr>
      </w:pPr>
      <w:r>
        <w:rPr>
          <w:rStyle w:val="6"/>
          <w:rFonts w:hint="eastAsia" w:ascii="仿宋" w:hAnsi="仿宋" w:eastAsia="仿宋" w:cs="仿宋"/>
          <w:i w:val="0"/>
          <w:iCs w:val="0"/>
          <w:caps w:val="0"/>
          <w:color w:val="333333"/>
          <w:spacing w:val="0"/>
          <w:sz w:val="28"/>
          <w:szCs w:val="28"/>
          <w:bdr w:val="none" w:color="auto" w:sz="0" w:space="0"/>
          <w:shd w:val="clear" w:fill="FFFFFF"/>
        </w:rPr>
        <w:t>四、调剂缴费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1.</w:t>
      </w:r>
      <w:r>
        <w:rPr>
          <w:rFonts w:hint="eastAsia" w:ascii="仿宋" w:hAnsi="仿宋" w:eastAsia="仿宋" w:cs="仿宋"/>
          <w:i w:val="0"/>
          <w:iCs w:val="0"/>
          <w:caps w:val="0"/>
          <w:color w:val="333333"/>
          <w:spacing w:val="0"/>
          <w:sz w:val="28"/>
          <w:szCs w:val="28"/>
          <w:bdr w:val="none" w:color="auto" w:sz="0" w:space="0"/>
          <w:shd w:val="clear" w:fill="FFFFFF"/>
        </w:rPr>
        <w:t>缴费方式：用网上缴费方式缴纳复试费用。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w:t>
      </w:r>
      <w:r>
        <w:rPr>
          <w:rFonts w:hint="eastAsia" w:ascii="仿宋" w:hAnsi="仿宋" w:eastAsia="仿宋" w:cs="仿宋"/>
          <w:i w:val="0"/>
          <w:iCs w:val="0"/>
          <w:caps w:val="0"/>
          <w:color w:val="333333"/>
          <w:spacing w:val="0"/>
          <w:sz w:val="28"/>
          <w:szCs w:val="28"/>
          <w:bdr w:val="none" w:color="auto" w:sz="0" w:space="0"/>
          <w:shd w:val="clear" w:fill="FFFFFF"/>
        </w:rPr>
        <w:t>缴费对象：调剂考生。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3.</w:t>
      </w:r>
      <w:r>
        <w:rPr>
          <w:rFonts w:hint="eastAsia" w:ascii="仿宋" w:hAnsi="仿宋" w:eastAsia="仿宋" w:cs="仿宋"/>
          <w:i w:val="0"/>
          <w:iCs w:val="0"/>
          <w:caps w:val="0"/>
          <w:color w:val="333333"/>
          <w:spacing w:val="0"/>
          <w:sz w:val="28"/>
          <w:szCs w:val="28"/>
          <w:bdr w:val="none" w:color="auto" w:sz="0" w:space="0"/>
          <w:shd w:val="clear" w:fill="FFFFFF"/>
        </w:rPr>
        <w:t>缴费标准：</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 120</w:t>
      </w:r>
      <w:r>
        <w:rPr>
          <w:rFonts w:hint="eastAsia" w:ascii="仿宋" w:hAnsi="仿宋" w:eastAsia="仿宋" w:cs="仿宋"/>
          <w:i w:val="0"/>
          <w:iCs w:val="0"/>
          <w:caps w:val="0"/>
          <w:color w:val="333333"/>
          <w:spacing w:val="0"/>
          <w:sz w:val="28"/>
          <w:szCs w:val="28"/>
          <w:bdr w:val="none" w:color="auto" w:sz="0" w:space="0"/>
          <w:shd w:val="clear" w:fill="FFFFFF"/>
        </w:rPr>
        <w:t>元</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w:t>
      </w:r>
      <w:r>
        <w:rPr>
          <w:rFonts w:hint="eastAsia" w:ascii="仿宋" w:hAnsi="仿宋" w:eastAsia="仿宋" w:cs="仿宋"/>
          <w:i w:val="0"/>
          <w:iCs w:val="0"/>
          <w:caps w:val="0"/>
          <w:color w:val="333333"/>
          <w:spacing w:val="0"/>
          <w:sz w:val="28"/>
          <w:szCs w:val="28"/>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4.</w:t>
      </w:r>
      <w:r>
        <w:rPr>
          <w:rFonts w:hint="eastAsia" w:ascii="仿宋" w:hAnsi="仿宋" w:eastAsia="仿宋" w:cs="仿宋"/>
          <w:i w:val="0"/>
          <w:iCs w:val="0"/>
          <w:caps w:val="0"/>
          <w:color w:val="333333"/>
          <w:spacing w:val="0"/>
          <w:sz w:val="28"/>
          <w:szCs w:val="28"/>
          <w:bdr w:val="none" w:color="auto" w:sz="0" w:space="0"/>
          <w:shd w:val="clear" w:fill="FFFFFF"/>
        </w:rPr>
        <w:t>缴费截止时间：各培养单位复试前</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1</w:t>
      </w:r>
      <w:r>
        <w:rPr>
          <w:rFonts w:hint="eastAsia" w:ascii="仿宋" w:hAnsi="仿宋" w:eastAsia="仿宋" w:cs="仿宋"/>
          <w:i w:val="0"/>
          <w:iCs w:val="0"/>
          <w:caps w:val="0"/>
          <w:color w:val="333333"/>
          <w:spacing w:val="0"/>
          <w:sz w:val="28"/>
          <w:szCs w:val="28"/>
          <w:bdr w:val="none" w:color="auto" w:sz="0" w:space="0"/>
          <w:shd w:val="clear" w:fill="FFFFFF"/>
        </w:rPr>
        <w:t>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5.</w:t>
      </w:r>
      <w:r>
        <w:rPr>
          <w:rFonts w:hint="eastAsia" w:ascii="仿宋" w:hAnsi="仿宋" w:eastAsia="仿宋" w:cs="仿宋"/>
          <w:i w:val="0"/>
          <w:iCs w:val="0"/>
          <w:caps w:val="0"/>
          <w:color w:val="333333"/>
          <w:spacing w:val="0"/>
          <w:sz w:val="28"/>
          <w:szCs w:val="28"/>
          <w:bdr w:val="none" w:color="auto" w:sz="0" w:space="0"/>
          <w:shd w:val="clear" w:fill="FFFFFF"/>
        </w:rPr>
        <w:t>缴费流程：详见官网通知</w:t>
      </w:r>
      <w:r>
        <w:rPr>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http://xkjsb.hynu.edu.cn/info/1221/3516.htm</w:t>
      </w:r>
      <w:r>
        <w:rPr>
          <w:rFonts w:hint="eastAsia" w:ascii="仿宋" w:hAnsi="仿宋" w:eastAsia="仿宋" w:cs="仿宋"/>
          <w:i w:val="0"/>
          <w:iCs w:val="0"/>
          <w:caps w:val="0"/>
          <w:color w:val="333333"/>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6.</w:t>
      </w:r>
      <w:r>
        <w:rPr>
          <w:rFonts w:hint="eastAsia" w:ascii="仿宋" w:hAnsi="仿宋" w:eastAsia="仿宋" w:cs="仿宋"/>
          <w:i w:val="0"/>
          <w:iCs w:val="0"/>
          <w:caps w:val="0"/>
          <w:color w:val="333333"/>
          <w:spacing w:val="0"/>
          <w:sz w:val="28"/>
          <w:szCs w:val="28"/>
          <w:bdr w:val="none" w:color="auto" w:sz="0" w:space="0"/>
          <w:shd w:val="clear" w:fill="FFFFFF"/>
        </w:rPr>
        <w:t>未缴费处理：未缴费者不得参加复试；已缴纳者如因本人原因没来参加复试，我校不予退费。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62"/>
        <w:jc w:val="both"/>
        <w:rPr>
          <w:rFonts w:hint="default" w:ascii="Calibri" w:hAnsi="Calibri" w:cs="Calibri"/>
          <w:sz w:val="24"/>
          <w:szCs w:val="24"/>
        </w:rPr>
      </w:pPr>
      <w:r>
        <w:rPr>
          <w:rStyle w:val="6"/>
          <w:rFonts w:hint="eastAsia" w:ascii="仿宋" w:hAnsi="仿宋" w:eastAsia="仿宋" w:cs="仿宋"/>
          <w:i w:val="0"/>
          <w:iCs w:val="0"/>
          <w:caps w:val="0"/>
          <w:color w:val="333333"/>
          <w:spacing w:val="0"/>
          <w:sz w:val="28"/>
          <w:szCs w:val="28"/>
          <w:bdr w:val="none" w:color="auto" w:sz="0" w:space="0"/>
          <w:shd w:val="clear" w:fill="FFFFFF"/>
        </w:rPr>
        <w:t>五、复试录取事宜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1.</w:t>
      </w:r>
      <w:r>
        <w:rPr>
          <w:rFonts w:hint="eastAsia" w:ascii="仿宋" w:hAnsi="仿宋" w:eastAsia="仿宋" w:cs="仿宋"/>
          <w:i w:val="0"/>
          <w:iCs w:val="0"/>
          <w:caps w:val="0"/>
          <w:color w:val="333333"/>
          <w:spacing w:val="0"/>
          <w:sz w:val="28"/>
          <w:szCs w:val="28"/>
          <w:bdr w:val="none" w:color="auto" w:sz="0" w:space="0"/>
          <w:shd w:val="clear" w:fill="FFFFFF"/>
        </w:rPr>
        <w:t>被拟录取的调剂考生，须在规定时间内通过研招网调剂系统接受待录取通知。对不按时接受通知的，将取消其拟录取资格。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w:t>
      </w:r>
      <w:r>
        <w:rPr>
          <w:rFonts w:hint="eastAsia" w:ascii="仿宋" w:hAnsi="仿宋" w:eastAsia="仿宋" w:cs="仿宋"/>
          <w:i w:val="0"/>
          <w:iCs w:val="0"/>
          <w:caps w:val="0"/>
          <w:color w:val="333333"/>
          <w:spacing w:val="0"/>
          <w:sz w:val="28"/>
          <w:szCs w:val="28"/>
          <w:bdr w:val="none" w:color="auto" w:sz="0" w:space="0"/>
          <w:shd w:val="clear" w:fill="FFFFFF"/>
        </w:rPr>
        <w:t>请调剂考生仔细核对是否符合各培养单位相关专业接受调剂条件，且保证提交的材料真实有效。若因不符合培养单位调剂要求或材料弄虚作假而造成无法复试或者无法通过教育部录检的，由考生自行负责。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62"/>
        <w:jc w:val="both"/>
        <w:rPr>
          <w:rFonts w:hint="default" w:ascii="Calibri" w:hAnsi="Calibri" w:cs="Calibri"/>
          <w:sz w:val="24"/>
          <w:szCs w:val="24"/>
        </w:rPr>
      </w:pPr>
      <w:r>
        <w:rPr>
          <w:rStyle w:val="6"/>
          <w:rFonts w:hint="eastAsia" w:ascii="仿宋" w:hAnsi="仿宋" w:eastAsia="仿宋" w:cs="仿宋"/>
          <w:i w:val="0"/>
          <w:iCs w:val="0"/>
          <w:caps w:val="0"/>
          <w:color w:val="333333"/>
          <w:spacing w:val="0"/>
          <w:sz w:val="28"/>
          <w:szCs w:val="28"/>
          <w:bdr w:val="none" w:color="auto" w:sz="0" w:space="0"/>
          <w:shd w:val="clear" w:fill="FFFFFF"/>
        </w:rPr>
        <w:t>六、其他说明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1.</w:t>
      </w:r>
      <w:r>
        <w:rPr>
          <w:rFonts w:hint="eastAsia" w:ascii="仿宋" w:hAnsi="仿宋" w:eastAsia="仿宋" w:cs="仿宋"/>
          <w:i w:val="0"/>
          <w:iCs w:val="0"/>
          <w:caps w:val="0"/>
          <w:color w:val="333333"/>
          <w:spacing w:val="0"/>
          <w:sz w:val="28"/>
          <w:szCs w:val="28"/>
          <w:bdr w:val="none" w:color="auto" w:sz="0" w:space="0"/>
          <w:shd w:val="clear" w:fill="FFFFFF"/>
        </w:rPr>
        <w:t>我校及相关培养单位以网站、电话、电子邮件、短信等方式公开或发送给考生的相关信息、文件和消息，均视为送达，因考生本人疏忽等原因造成的一切后果由考生本人承担。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516"/>
        <w:jc w:val="both"/>
        <w:rPr>
          <w:rFonts w:hint="default" w:ascii="Calibri" w:hAnsi="Calibri" w:cs="Calibri"/>
          <w:sz w:val="24"/>
          <w:szCs w:val="24"/>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w:t>
      </w:r>
      <w:r>
        <w:rPr>
          <w:rFonts w:hint="eastAsia" w:ascii="仿宋" w:hAnsi="仿宋" w:eastAsia="仿宋" w:cs="仿宋"/>
          <w:i w:val="0"/>
          <w:iCs w:val="0"/>
          <w:caps w:val="0"/>
          <w:color w:val="333333"/>
          <w:spacing w:val="0"/>
          <w:sz w:val="28"/>
          <w:szCs w:val="28"/>
          <w:bdr w:val="none" w:color="auto" w:sz="0" w:space="0"/>
          <w:shd w:val="clear" w:fill="FFFFFF"/>
        </w:rPr>
        <w:t>未尽事宜以《教育部关于印发《</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2023</w:t>
      </w:r>
      <w:r>
        <w:rPr>
          <w:rFonts w:hint="eastAsia" w:ascii="仿宋" w:hAnsi="仿宋" w:eastAsia="仿宋" w:cs="仿宋"/>
          <w:i w:val="0"/>
          <w:iCs w:val="0"/>
          <w:caps w:val="0"/>
          <w:color w:val="333333"/>
          <w:spacing w:val="0"/>
          <w:sz w:val="28"/>
          <w:szCs w:val="28"/>
          <w:bdr w:val="none" w:color="auto" w:sz="0" w:space="0"/>
          <w:shd w:val="clear" w:fill="FFFFFF"/>
        </w:rPr>
        <w:t>年全国硕士研究生招生工作管理规定》的通知》（教学函〔</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2022</w:t>
      </w:r>
      <w:r>
        <w:rPr>
          <w:rFonts w:hint="eastAsia" w:ascii="仿宋" w:hAnsi="仿宋" w:eastAsia="仿宋" w:cs="仿宋"/>
          <w:i w:val="0"/>
          <w:iCs w:val="0"/>
          <w:caps w:val="0"/>
          <w:color w:val="333333"/>
          <w:spacing w:val="0"/>
          <w:sz w:val="28"/>
          <w:szCs w:val="28"/>
          <w:bdr w:val="none" w:color="auto" w:sz="0" w:space="0"/>
          <w:shd w:val="clear" w:fill="FFFFFF"/>
        </w:rPr>
        <w:t>〕</w:t>
      </w:r>
      <w:r>
        <w:rPr>
          <w:rFonts w:hint="default" w:ascii="Times New Roman" w:hAnsi="Times New Roman" w:eastAsia="微软雅黑" w:cs="Times New Roman"/>
          <w:i w:val="0"/>
          <w:iCs w:val="0"/>
          <w:caps w:val="0"/>
          <w:color w:val="333333"/>
          <w:spacing w:val="0"/>
          <w:sz w:val="28"/>
          <w:szCs w:val="28"/>
          <w:bdr w:val="none" w:color="auto" w:sz="0" w:space="0"/>
          <w:shd w:val="clear" w:fill="FFFFFF"/>
          <w:lang w:val="en-US"/>
        </w:rPr>
        <w:t>3</w:t>
      </w:r>
      <w:r>
        <w:rPr>
          <w:rFonts w:hint="eastAsia" w:ascii="仿宋" w:hAnsi="仿宋" w:eastAsia="仿宋" w:cs="仿宋"/>
          <w:i w:val="0"/>
          <w:iCs w:val="0"/>
          <w:caps w:val="0"/>
          <w:color w:val="333333"/>
          <w:spacing w:val="0"/>
          <w:sz w:val="28"/>
          <w:szCs w:val="28"/>
          <w:bdr w:val="none" w:color="auto" w:sz="0" w:space="0"/>
          <w:shd w:val="clear" w:fill="FFFFFF"/>
        </w:rPr>
        <w:t>号）等上级主管部门文件和学校相关规定为准。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46476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1521</Words>
  <Characters>1859</Characters>
  <Lines>0</Lines>
  <Paragraphs>0</Paragraphs>
  <TotalTime>0</TotalTime>
  <ScaleCrop>false</ScaleCrop>
  <LinksUpToDate>false</LinksUpToDate>
  <CharactersWithSpaces>1869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2023-07-12T01:44:54Z</dcterms:created>
  <dc:creator>23786</dc:creator>
  <cp:lastModifiedBy>陈桉</cp:lastModifiedBy>
  <dcterms:modified xsi:type="dcterms:W3CDTF">2023-07-12T01:45:03Z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769FFA37D9D041B69CFFC1F68D36817E_12</vt:lpwstr>
  </property>
</Properties>
</file>