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8F4" w:rsidRPr="00B458F4" w:rsidRDefault="00B458F4" w:rsidP="00B458F4">
      <w:pPr>
        <w:widowControl/>
        <w:spacing w:after="300"/>
        <w:jc w:val="center"/>
        <w:outlineLvl w:val="2"/>
        <w:rPr>
          <w:rFonts w:ascii="微软雅黑" w:eastAsia="微软雅黑" w:hAnsi="微软雅黑" w:cs="宋体"/>
          <w:b/>
          <w:bCs/>
          <w:color w:val="000000"/>
          <w:kern w:val="0"/>
          <w:sz w:val="30"/>
          <w:szCs w:val="30"/>
        </w:rPr>
      </w:pPr>
      <w:r w:rsidRPr="00B458F4">
        <w:rPr>
          <w:rFonts w:ascii="微软雅黑" w:eastAsia="微软雅黑" w:hAnsi="微软雅黑" w:cs="宋体" w:hint="eastAsia"/>
          <w:b/>
          <w:bCs/>
          <w:color w:val="000000"/>
          <w:kern w:val="0"/>
          <w:sz w:val="30"/>
          <w:szCs w:val="30"/>
        </w:rPr>
        <w:t>2023年物理科学与技术学院硕士研究生调剂工作方案</w:t>
      </w:r>
    </w:p>
    <w:p w:rsidR="00B458F4" w:rsidRPr="00B458F4" w:rsidRDefault="00B458F4" w:rsidP="00B458F4">
      <w:pPr>
        <w:widowControl/>
        <w:jc w:val="center"/>
        <w:rPr>
          <w:rFonts w:ascii="微软雅黑" w:eastAsia="微软雅黑" w:hAnsi="微软雅黑" w:cs="宋体" w:hint="eastAsia"/>
          <w:color w:val="000000"/>
          <w:kern w:val="0"/>
          <w:sz w:val="2"/>
          <w:szCs w:val="2"/>
        </w:rPr>
      </w:pPr>
      <w:r w:rsidRPr="00B458F4">
        <w:rPr>
          <w:rFonts w:ascii="微软雅黑" w:eastAsia="微软雅黑" w:hAnsi="微软雅黑" w:cs="宋体" w:hint="eastAsia"/>
          <w:color w:val="666666"/>
          <w:kern w:val="0"/>
          <w:szCs w:val="21"/>
        </w:rPr>
        <w:t>阅读次数：3419次日期：2023-04-06</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我院材料工程专业</w:t>
      </w:r>
      <w:proofErr w:type="gramStart"/>
      <w:r w:rsidRPr="00B458F4">
        <w:rPr>
          <w:rFonts w:ascii="微软雅黑" w:eastAsia="微软雅黑" w:hAnsi="微软雅黑" w:cs="宋体" w:hint="eastAsia"/>
          <w:color w:val="333333"/>
          <w:kern w:val="0"/>
          <w:sz w:val="28"/>
          <w:szCs w:val="28"/>
        </w:rPr>
        <w:t>一</w:t>
      </w:r>
      <w:proofErr w:type="gramEnd"/>
      <w:r w:rsidRPr="00B458F4">
        <w:rPr>
          <w:rFonts w:ascii="微软雅黑" w:eastAsia="微软雅黑" w:hAnsi="微软雅黑" w:cs="宋体" w:hint="eastAsia"/>
          <w:color w:val="333333"/>
          <w:kern w:val="0"/>
          <w:sz w:val="28"/>
          <w:szCs w:val="28"/>
        </w:rPr>
        <w:t>志愿生源不足，现接收调剂，具体通知如下：</w:t>
      </w:r>
    </w:p>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t>一、调剂专业及指标</w:t>
      </w:r>
    </w:p>
    <w:tbl>
      <w:tblPr>
        <w:tblW w:w="9195" w:type="dxa"/>
        <w:jc w:val="center"/>
        <w:tblCellMar>
          <w:left w:w="0" w:type="dxa"/>
          <w:right w:w="0" w:type="dxa"/>
        </w:tblCellMar>
        <w:tblLook w:val="04A0" w:firstRow="1" w:lastRow="0" w:firstColumn="1" w:lastColumn="0" w:noHBand="0" w:noVBand="1"/>
      </w:tblPr>
      <w:tblGrid>
        <w:gridCol w:w="3540"/>
        <w:gridCol w:w="2790"/>
        <w:gridCol w:w="2865"/>
      </w:tblGrid>
      <w:tr w:rsidR="00B458F4" w:rsidRPr="00B458F4" w:rsidTr="00B458F4">
        <w:trPr>
          <w:trHeight w:val="540"/>
          <w:jc w:val="center"/>
        </w:trPr>
        <w:tc>
          <w:tcPr>
            <w:tcW w:w="3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专业代码</w:t>
            </w:r>
          </w:p>
        </w:tc>
        <w:tc>
          <w:tcPr>
            <w:tcW w:w="27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专业名称</w:t>
            </w:r>
          </w:p>
        </w:tc>
        <w:tc>
          <w:tcPr>
            <w:tcW w:w="28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调剂计划</w:t>
            </w:r>
          </w:p>
        </w:tc>
      </w:tr>
      <w:tr w:rsidR="00B458F4" w:rsidRPr="00B458F4" w:rsidTr="00B458F4">
        <w:trPr>
          <w:trHeight w:val="540"/>
          <w:jc w:val="center"/>
        </w:trPr>
        <w:tc>
          <w:tcPr>
            <w:tcW w:w="35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Times New Roman" w:eastAsia="仿宋" w:hAnsi="Times New Roman" w:cs="Times New Roman"/>
                <w:color w:val="333333"/>
                <w:kern w:val="0"/>
                <w:sz w:val="28"/>
                <w:szCs w:val="28"/>
              </w:rPr>
              <w:t>085601</w:t>
            </w:r>
          </w:p>
        </w:tc>
        <w:tc>
          <w:tcPr>
            <w:tcW w:w="279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仿宋" w:eastAsia="仿宋" w:hAnsi="仿宋" w:cs="宋体" w:hint="eastAsia"/>
                <w:color w:val="333333"/>
                <w:kern w:val="0"/>
                <w:sz w:val="28"/>
                <w:szCs w:val="28"/>
              </w:rPr>
              <w:t>材料工程</w:t>
            </w:r>
          </w:p>
        </w:tc>
        <w:tc>
          <w:tcPr>
            <w:tcW w:w="286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B458F4" w:rsidRPr="00B458F4" w:rsidRDefault="00B458F4" w:rsidP="00B458F4">
            <w:pPr>
              <w:widowControl/>
              <w:wordWrap w:val="0"/>
              <w:spacing w:line="504" w:lineRule="atLeast"/>
              <w:jc w:val="center"/>
              <w:rPr>
                <w:rFonts w:ascii="宋体" w:eastAsia="宋体" w:hAnsi="宋体" w:cs="宋体"/>
                <w:color w:val="333333"/>
                <w:kern w:val="0"/>
                <w:sz w:val="28"/>
                <w:szCs w:val="28"/>
              </w:rPr>
            </w:pPr>
            <w:r w:rsidRPr="00B458F4">
              <w:rPr>
                <w:rFonts w:ascii="Times New Roman" w:eastAsia="仿宋" w:hAnsi="Times New Roman" w:cs="Times New Roman"/>
                <w:color w:val="333333"/>
                <w:kern w:val="0"/>
                <w:sz w:val="28"/>
                <w:szCs w:val="28"/>
              </w:rPr>
              <w:t>17</w:t>
            </w:r>
          </w:p>
        </w:tc>
      </w:tr>
    </w:tbl>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t>二、调剂要求</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根据2023年西北工业大学研究生复试录取工作的相关文件，调剂考生需全部满足以下条件：</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1.调剂生初试成绩需达到西北工业大学第一志愿报考专业复试基本分数线；</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2.接收的调剂生应同时满足以下条件：</w:t>
      </w:r>
    </w:p>
    <w:tbl>
      <w:tblPr>
        <w:tblW w:w="10425" w:type="dxa"/>
        <w:jc w:val="center"/>
        <w:tblCellMar>
          <w:left w:w="0" w:type="dxa"/>
          <w:right w:w="0" w:type="dxa"/>
        </w:tblCellMar>
        <w:tblLook w:val="04A0" w:firstRow="1" w:lastRow="0" w:firstColumn="1" w:lastColumn="0" w:noHBand="0" w:noVBand="1"/>
      </w:tblPr>
      <w:tblGrid>
        <w:gridCol w:w="1215"/>
        <w:gridCol w:w="1575"/>
        <w:gridCol w:w="2790"/>
        <w:gridCol w:w="2850"/>
        <w:gridCol w:w="1995"/>
      </w:tblGrid>
      <w:tr w:rsidR="00B458F4" w:rsidRPr="00B458F4" w:rsidTr="00B458F4">
        <w:trPr>
          <w:trHeight w:val="510"/>
          <w:jc w:val="center"/>
        </w:trPr>
        <w:tc>
          <w:tcPr>
            <w:tcW w:w="1215"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专业</w:t>
            </w:r>
          </w:p>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代码</w:t>
            </w:r>
          </w:p>
        </w:tc>
        <w:tc>
          <w:tcPr>
            <w:tcW w:w="1575"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专业</w:t>
            </w:r>
          </w:p>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名称</w:t>
            </w:r>
          </w:p>
        </w:tc>
        <w:tc>
          <w:tcPr>
            <w:tcW w:w="7635" w:type="dxa"/>
            <w:gridSpan w:val="3"/>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满足要求</w:t>
            </w:r>
          </w:p>
        </w:tc>
      </w:tr>
      <w:tr w:rsidR="00B458F4" w:rsidRPr="00B458F4" w:rsidTr="00B458F4">
        <w:trPr>
          <w:trHeight w:val="51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B458F4" w:rsidRPr="00B458F4" w:rsidRDefault="00B458F4" w:rsidP="00B458F4">
            <w:pPr>
              <w:widowControl/>
              <w:jc w:val="left"/>
              <w:rPr>
                <w:rFonts w:ascii="宋体" w:eastAsia="宋体" w:hAnsi="宋体" w:cs="宋体"/>
                <w:color w:val="333333"/>
                <w:kern w:val="0"/>
                <w:sz w:val="28"/>
                <w:szCs w:val="2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458F4" w:rsidRPr="00B458F4" w:rsidRDefault="00B458F4" w:rsidP="00B458F4">
            <w:pPr>
              <w:widowControl/>
              <w:jc w:val="left"/>
              <w:rPr>
                <w:rFonts w:ascii="宋体" w:eastAsia="宋体" w:hAnsi="宋体" w:cs="宋体"/>
                <w:color w:val="333333"/>
                <w:kern w:val="0"/>
                <w:sz w:val="28"/>
                <w:szCs w:val="28"/>
              </w:rPr>
            </w:pPr>
          </w:p>
        </w:tc>
        <w:tc>
          <w:tcPr>
            <w:tcW w:w="27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proofErr w:type="gramStart"/>
            <w:r w:rsidRPr="00B458F4">
              <w:rPr>
                <w:rFonts w:ascii="仿宋" w:eastAsia="仿宋" w:hAnsi="仿宋" w:cs="Times New Roman" w:hint="eastAsia"/>
                <w:color w:val="333333"/>
                <w:kern w:val="0"/>
                <w:sz w:val="28"/>
                <w:szCs w:val="28"/>
              </w:rPr>
              <w:t>一</w:t>
            </w:r>
            <w:proofErr w:type="gramEnd"/>
            <w:r w:rsidRPr="00B458F4">
              <w:rPr>
                <w:rFonts w:ascii="仿宋" w:eastAsia="仿宋" w:hAnsi="仿宋" w:cs="Times New Roman" w:hint="eastAsia"/>
                <w:color w:val="333333"/>
                <w:kern w:val="0"/>
                <w:sz w:val="28"/>
                <w:szCs w:val="28"/>
              </w:rPr>
              <w:t>志愿报考学科</w:t>
            </w:r>
          </w:p>
        </w:tc>
        <w:tc>
          <w:tcPr>
            <w:tcW w:w="28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学术要求</w:t>
            </w:r>
          </w:p>
        </w:tc>
        <w:tc>
          <w:tcPr>
            <w:tcW w:w="19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Times New Roman" w:hint="eastAsia"/>
                <w:color w:val="333333"/>
                <w:kern w:val="0"/>
                <w:sz w:val="28"/>
                <w:szCs w:val="28"/>
              </w:rPr>
              <w:t>分数要求</w:t>
            </w:r>
          </w:p>
        </w:tc>
      </w:tr>
      <w:tr w:rsidR="00B458F4" w:rsidRPr="00B458F4" w:rsidTr="00B458F4">
        <w:trPr>
          <w:trHeight w:val="510"/>
          <w:jc w:val="center"/>
        </w:trPr>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Times New Roman" w:eastAsia="仿宋" w:hAnsi="Times New Roman" w:cs="Times New Roman"/>
                <w:color w:val="333333"/>
                <w:kern w:val="0"/>
                <w:sz w:val="28"/>
                <w:szCs w:val="28"/>
              </w:rPr>
              <w:t>085601</w:t>
            </w:r>
          </w:p>
        </w:tc>
        <w:tc>
          <w:tcPr>
            <w:tcW w:w="15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宋体" w:hint="eastAsia"/>
                <w:color w:val="333333"/>
                <w:kern w:val="0"/>
                <w:sz w:val="28"/>
                <w:szCs w:val="28"/>
              </w:rPr>
              <w:t>材料工程</w:t>
            </w:r>
          </w:p>
        </w:tc>
        <w:tc>
          <w:tcPr>
            <w:tcW w:w="27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Times New Roman" w:eastAsia="仿宋" w:hAnsi="Times New Roman" w:cs="Times New Roman"/>
                <w:color w:val="333333"/>
                <w:kern w:val="0"/>
                <w:sz w:val="28"/>
                <w:szCs w:val="28"/>
              </w:rPr>
              <w:t>085408</w:t>
            </w:r>
          </w:p>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p>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r w:rsidRPr="00B458F4">
              <w:rPr>
                <w:rFonts w:ascii="仿宋" w:eastAsia="仿宋" w:hAnsi="仿宋" w:cs="宋体" w:hint="eastAsia"/>
                <w:color w:val="333333"/>
                <w:kern w:val="0"/>
                <w:sz w:val="28"/>
                <w:szCs w:val="28"/>
              </w:rPr>
              <w:t>光电信息工程</w:t>
            </w:r>
          </w:p>
        </w:tc>
        <w:tc>
          <w:tcPr>
            <w:tcW w:w="28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504" w:lineRule="atLeast"/>
              <w:jc w:val="left"/>
              <w:rPr>
                <w:rFonts w:ascii="宋体" w:eastAsia="宋体" w:hAnsi="宋体" w:cs="宋体"/>
                <w:color w:val="333333"/>
                <w:kern w:val="0"/>
                <w:sz w:val="28"/>
                <w:szCs w:val="28"/>
              </w:rPr>
            </w:pPr>
            <w:proofErr w:type="gramStart"/>
            <w:r w:rsidRPr="00B458F4">
              <w:rPr>
                <w:rFonts w:ascii="仿宋" w:eastAsia="仿宋" w:hAnsi="仿宋" w:cs="宋体" w:hint="eastAsia"/>
                <w:color w:val="333333"/>
                <w:kern w:val="0"/>
                <w:sz w:val="28"/>
                <w:szCs w:val="28"/>
              </w:rPr>
              <w:t>初试自</w:t>
            </w:r>
            <w:proofErr w:type="gramEnd"/>
            <w:r w:rsidRPr="00B458F4">
              <w:rPr>
                <w:rFonts w:ascii="仿宋" w:eastAsia="仿宋" w:hAnsi="仿宋" w:cs="宋体" w:hint="eastAsia"/>
                <w:color w:val="333333"/>
                <w:kern w:val="0"/>
                <w:sz w:val="28"/>
                <w:szCs w:val="28"/>
              </w:rPr>
              <w:t>命题科目为西北工业大学自命题科目828光学</w:t>
            </w:r>
          </w:p>
        </w:tc>
        <w:tc>
          <w:tcPr>
            <w:tcW w:w="19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458F4" w:rsidRPr="00B458F4" w:rsidRDefault="00B458F4" w:rsidP="00B458F4">
            <w:pPr>
              <w:widowControl/>
              <w:wordWrap w:val="0"/>
              <w:spacing w:line="405" w:lineRule="atLeast"/>
              <w:jc w:val="center"/>
              <w:rPr>
                <w:rFonts w:ascii="宋体" w:eastAsia="宋体" w:hAnsi="宋体" w:cs="宋体"/>
                <w:color w:val="333333"/>
                <w:kern w:val="0"/>
                <w:sz w:val="28"/>
                <w:szCs w:val="28"/>
              </w:rPr>
            </w:pPr>
            <w:proofErr w:type="gramStart"/>
            <w:r w:rsidRPr="00B458F4">
              <w:rPr>
                <w:rFonts w:ascii="仿宋" w:eastAsia="仿宋" w:hAnsi="仿宋" w:cs="Times New Roman" w:hint="eastAsia"/>
                <w:color w:val="333333"/>
                <w:kern w:val="0"/>
                <w:sz w:val="28"/>
                <w:szCs w:val="28"/>
              </w:rPr>
              <w:t>一</w:t>
            </w:r>
            <w:proofErr w:type="gramEnd"/>
            <w:r w:rsidRPr="00B458F4">
              <w:rPr>
                <w:rFonts w:ascii="仿宋" w:eastAsia="仿宋" w:hAnsi="仿宋" w:cs="Times New Roman" w:hint="eastAsia"/>
                <w:color w:val="333333"/>
                <w:kern w:val="0"/>
                <w:sz w:val="28"/>
                <w:szCs w:val="28"/>
              </w:rPr>
              <w:t>志愿报考</w:t>
            </w:r>
            <w:r w:rsidRPr="00B458F4">
              <w:rPr>
                <w:rFonts w:ascii="仿宋" w:eastAsia="仿宋" w:hAnsi="仿宋" w:cs="宋体" w:hint="eastAsia"/>
                <w:color w:val="333333"/>
                <w:kern w:val="0"/>
                <w:sz w:val="28"/>
                <w:szCs w:val="28"/>
              </w:rPr>
              <w:t>光电信息工程总分</w:t>
            </w:r>
            <w:r w:rsidRPr="00B458F4">
              <w:rPr>
                <w:rFonts w:ascii="仿宋" w:eastAsia="仿宋" w:hAnsi="仿宋" w:cs="Times New Roman" w:hint="eastAsia"/>
                <w:color w:val="333333"/>
                <w:kern w:val="0"/>
                <w:sz w:val="28"/>
                <w:szCs w:val="28"/>
              </w:rPr>
              <w:t>不低于</w:t>
            </w:r>
            <w:r w:rsidRPr="00B458F4">
              <w:rPr>
                <w:rFonts w:ascii="Times New Roman" w:eastAsia="仿宋" w:hAnsi="Times New Roman" w:cs="Times New Roman"/>
                <w:color w:val="333333"/>
                <w:kern w:val="0"/>
                <w:sz w:val="28"/>
                <w:szCs w:val="28"/>
              </w:rPr>
              <w:t>3</w:t>
            </w:r>
            <w:r w:rsidRPr="00B458F4">
              <w:rPr>
                <w:rFonts w:ascii="Times New Roman" w:eastAsia="宋体" w:hAnsi="Times New Roman" w:cs="Times New Roman"/>
                <w:color w:val="333333"/>
                <w:kern w:val="0"/>
                <w:sz w:val="28"/>
                <w:szCs w:val="28"/>
              </w:rPr>
              <w:t>1</w:t>
            </w:r>
            <w:r w:rsidRPr="00B458F4">
              <w:rPr>
                <w:rFonts w:ascii="Times New Roman" w:eastAsia="仿宋" w:hAnsi="Times New Roman" w:cs="Times New Roman"/>
                <w:color w:val="333333"/>
                <w:kern w:val="0"/>
                <w:sz w:val="28"/>
                <w:szCs w:val="28"/>
              </w:rPr>
              <w:t>0</w:t>
            </w:r>
            <w:r w:rsidRPr="00B458F4">
              <w:rPr>
                <w:rFonts w:ascii="仿宋" w:eastAsia="仿宋" w:hAnsi="仿宋" w:cs="宋体" w:hint="eastAsia"/>
                <w:color w:val="333333"/>
                <w:kern w:val="0"/>
                <w:sz w:val="28"/>
                <w:szCs w:val="28"/>
              </w:rPr>
              <w:t>分</w:t>
            </w:r>
          </w:p>
        </w:tc>
      </w:tr>
    </w:tbl>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t>三、调剂报名</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lastRenderedPageBreak/>
        <w:t>符合调剂要求的考生请在2023年4月7日0：00--12：00期间登录“全国硕士生招生调剂服务系统”报名，同时提交学院要求的材料（</w:t>
      </w:r>
      <w:proofErr w:type="gramStart"/>
      <w:r w:rsidRPr="00B458F4">
        <w:rPr>
          <w:rFonts w:ascii="微软雅黑" w:eastAsia="微软雅黑" w:hAnsi="微软雅黑" w:cs="宋体" w:hint="eastAsia"/>
          <w:color w:val="333333"/>
          <w:kern w:val="0"/>
          <w:sz w:val="28"/>
          <w:szCs w:val="28"/>
        </w:rPr>
        <w:t>一</w:t>
      </w:r>
      <w:proofErr w:type="gramEnd"/>
      <w:r w:rsidRPr="00B458F4">
        <w:rPr>
          <w:rFonts w:ascii="微软雅黑" w:eastAsia="微软雅黑" w:hAnsi="微软雅黑" w:cs="宋体" w:hint="eastAsia"/>
          <w:color w:val="333333"/>
          <w:kern w:val="0"/>
          <w:sz w:val="28"/>
          <w:szCs w:val="28"/>
        </w:rPr>
        <w:t>志愿</w:t>
      </w:r>
      <w:proofErr w:type="gramStart"/>
      <w:r w:rsidRPr="00B458F4">
        <w:rPr>
          <w:rFonts w:ascii="微软雅黑" w:eastAsia="微软雅黑" w:hAnsi="微软雅黑" w:cs="宋体" w:hint="eastAsia"/>
          <w:color w:val="333333"/>
          <w:kern w:val="0"/>
          <w:sz w:val="28"/>
          <w:szCs w:val="28"/>
        </w:rPr>
        <w:t>上院线</w:t>
      </w:r>
      <w:proofErr w:type="gramEnd"/>
      <w:r w:rsidRPr="00B458F4">
        <w:rPr>
          <w:rFonts w:ascii="微软雅黑" w:eastAsia="微软雅黑" w:hAnsi="微软雅黑" w:cs="宋体" w:hint="eastAsia"/>
          <w:color w:val="333333"/>
          <w:kern w:val="0"/>
          <w:sz w:val="28"/>
          <w:szCs w:val="28"/>
        </w:rPr>
        <w:t>考生院内调剂可不提供），未发送材料或未在调剂服务系统中报名均视为报名无效。</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审核通过后，在调剂系统发送复试通知，并通知考生进行复试。</w:t>
      </w:r>
    </w:p>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t>四、调剂复试</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1. 复试方式</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线下面试复试，具体面试方法参阅《西北工业大学物理科学与技术学院2023年全国硕士研究生招生考试复试工作方案》（详见物理科学与技术学院官方网站“通知公告”栏）。</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2. 复试时间</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2023年4月11日</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3. 复试内容</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复试内容包括思想政治考核、专业外语水平考核、专业综合能力考核三部分，每部分满分100分。</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4. 成绩计算</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（1）复试总成绩=思想政治考核成绩*10%+专业外语水平考核成绩*20%+专业综合能力考核成绩*70%</w:t>
      </w:r>
    </w:p>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lastRenderedPageBreak/>
        <w:t>录取总成绩=初试总分*0.55/5+复试成绩*0.45</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（2）调剂考生的</w:t>
      </w:r>
      <w:proofErr w:type="gramStart"/>
      <w:r w:rsidRPr="00B458F4">
        <w:rPr>
          <w:rFonts w:ascii="微软雅黑" w:eastAsia="微软雅黑" w:hAnsi="微软雅黑" w:cs="宋体" w:hint="eastAsia"/>
          <w:color w:val="333333"/>
          <w:kern w:val="0"/>
          <w:sz w:val="28"/>
          <w:szCs w:val="28"/>
        </w:rPr>
        <w:t>录取按</w:t>
      </w:r>
      <w:proofErr w:type="gramEnd"/>
      <w:r w:rsidRPr="00B458F4">
        <w:rPr>
          <w:rFonts w:ascii="微软雅黑" w:eastAsia="微软雅黑" w:hAnsi="微软雅黑" w:cs="宋体" w:hint="eastAsia"/>
          <w:color w:val="333333"/>
          <w:kern w:val="0"/>
          <w:sz w:val="28"/>
          <w:szCs w:val="28"/>
        </w:rPr>
        <w:t>报考专业，根据录取总成绩从高到低顺序择优录取。</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（3）政审不合格，思想政治素质和道德品质考核不合格的不予录取；复试总成绩低于60分的不予录取；复试中认定为违规违纪的不予录取。</w:t>
      </w:r>
    </w:p>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五、</w:t>
      </w:r>
      <w:r w:rsidRPr="00B458F4">
        <w:rPr>
          <w:rFonts w:ascii="微软雅黑" w:eastAsia="微软雅黑" w:hAnsi="微软雅黑" w:cs="宋体" w:hint="eastAsia"/>
          <w:b/>
          <w:bCs/>
          <w:color w:val="333333"/>
          <w:kern w:val="0"/>
          <w:sz w:val="28"/>
          <w:szCs w:val="28"/>
        </w:rPr>
        <w:t>信息公开</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学院将对调剂预录取名单于4月12日在物理科学与技术学院官方网站进行公示。</w:t>
      </w:r>
    </w:p>
    <w:p w:rsidR="00B458F4" w:rsidRPr="00B458F4" w:rsidRDefault="00B458F4" w:rsidP="00B458F4">
      <w:pPr>
        <w:widowControl/>
        <w:spacing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b/>
          <w:bCs/>
          <w:color w:val="333333"/>
          <w:kern w:val="0"/>
          <w:sz w:val="28"/>
          <w:szCs w:val="28"/>
        </w:rPr>
        <w:t>六、监督与复议</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咨询及申诉渠道：西北工业大学物理科学与技术学院办公室</w:t>
      </w:r>
    </w:p>
    <w:p w:rsidR="00B458F4" w:rsidRPr="00B458F4" w:rsidRDefault="00B458F4" w:rsidP="00B458F4">
      <w:pPr>
        <w:widowControl/>
        <w:spacing w:after="300" w:line="504" w:lineRule="atLeast"/>
        <w:ind w:firstLine="480"/>
        <w:jc w:val="left"/>
        <w:rPr>
          <w:rFonts w:ascii="微软雅黑" w:eastAsia="微软雅黑" w:hAnsi="微软雅黑" w:cs="宋体" w:hint="eastAsia"/>
          <w:color w:val="333333"/>
          <w:kern w:val="0"/>
          <w:sz w:val="28"/>
          <w:szCs w:val="28"/>
        </w:rPr>
      </w:pPr>
      <w:r w:rsidRPr="00B458F4">
        <w:rPr>
          <w:rFonts w:ascii="微软雅黑" w:eastAsia="微软雅黑" w:hAnsi="微软雅黑" w:cs="宋体" w:hint="eastAsia"/>
          <w:color w:val="333333"/>
          <w:kern w:val="0"/>
          <w:sz w:val="28"/>
          <w:szCs w:val="28"/>
        </w:rPr>
        <w:t>咨询电话：029-88430776（曹老师）</w:t>
      </w:r>
    </w:p>
    <w:p w:rsidR="001C33E0" w:rsidRDefault="001C33E0">
      <w:bookmarkStart w:id="0" w:name="_GoBack"/>
      <w:bookmarkEnd w:id="0"/>
    </w:p>
    <w:sectPr w:rsidR="001C33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2"/>
    <w:rsid w:val="00095CD2"/>
    <w:rsid w:val="001C33E0"/>
    <w:rsid w:val="00B45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458F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458F4"/>
    <w:rPr>
      <w:rFonts w:ascii="宋体" w:eastAsia="宋体" w:hAnsi="宋体" w:cs="宋体"/>
      <w:b/>
      <w:bCs/>
      <w:kern w:val="0"/>
      <w:sz w:val="27"/>
      <w:szCs w:val="27"/>
    </w:rPr>
  </w:style>
  <w:style w:type="paragraph" w:styleId="a3">
    <w:name w:val="Normal (Web)"/>
    <w:basedOn w:val="a"/>
    <w:uiPriority w:val="99"/>
    <w:unhideWhenUsed/>
    <w:rsid w:val="00B458F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58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458F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458F4"/>
    <w:rPr>
      <w:rFonts w:ascii="宋体" w:eastAsia="宋体" w:hAnsi="宋体" w:cs="宋体"/>
      <w:b/>
      <w:bCs/>
      <w:kern w:val="0"/>
      <w:sz w:val="27"/>
      <w:szCs w:val="27"/>
    </w:rPr>
  </w:style>
  <w:style w:type="paragraph" w:styleId="a3">
    <w:name w:val="Normal (Web)"/>
    <w:basedOn w:val="a"/>
    <w:uiPriority w:val="99"/>
    <w:unhideWhenUsed/>
    <w:rsid w:val="00B458F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58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031557">
      <w:bodyDiv w:val="1"/>
      <w:marLeft w:val="0"/>
      <w:marRight w:val="0"/>
      <w:marTop w:val="0"/>
      <w:marBottom w:val="0"/>
      <w:divBdr>
        <w:top w:val="none" w:sz="0" w:space="0" w:color="auto"/>
        <w:left w:val="none" w:sz="0" w:space="0" w:color="auto"/>
        <w:bottom w:val="none" w:sz="0" w:space="0" w:color="auto"/>
        <w:right w:val="none" w:sz="0" w:space="0" w:color="auto"/>
      </w:divBdr>
      <w:divsChild>
        <w:div w:id="90244476">
          <w:marLeft w:val="0"/>
          <w:marRight w:val="0"/>
          <w:marTop w:val="0"/>
          <w:marBottom w:val="450"/>
          <w:divBdr>
            <w:top w:val="none" w:sz="0" w:space="0" w:color="auto"/>
            <w:left w:val="none" w:sz="0" w:space="0" w:color="auto"/>
            <w:bottom w:val="single" w:sz="6" w:space="0" w:color="E5E5E5"/>
            <w:right w:val="none" w:sz="0" w:space="0" w:color="auto"/>
          </w:divBdr>
        </w:div>
        <w:div w:id="1677150893">
          <w:marLeft w:val="0"/>
          <w:marRight w:val="0"/>
          <w:marTop w:val="0"/>
          <w:marBottom w:val="0"/>
          <w:divBdr>
            <w:top w:val="none" w:sz="0" w:space="0" w:color="auto"/>
            <w:left w:val="none" w:sz="0" w:space="0" w:color="auto"/>
            <w:bottom w:val="none" w:sz="0" w:space="0" w:color="auto"/>
            <w:right w:val="none" w:sz="0" w:space="0" w:color="auto"/>
          </w:divBdr>
          <w:divsChild>
            <w:div w:id="2060781648">
              <w:marLeft w:val="0"/>
              <w:marRight w:val="0"/>
              <w:marTop w:val="0"/>
              <w:marBottom w:val="0"/>
              <w:divBdr>
                <w:top w:val="none" w:sz="0" w:space="0" w:color="auto"/>
                <w:left w:val="none" w:sz="0" w:space="0" w:color="auto"/>
                <w:bottom w:val="none" w:sz="0" w:space="0" w:color="auto"/>
                <w:right w:val="none" w:sz="0" w:space="0" w:color="auto"/>
              </w:divBdr>
              <w:divsChild>
                <w:div w:id="100351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2023-04-09T09:48:00Z</dcterms:created>
  <dcterms:modified xsi:type="dcterms:W3CDTF">2023-04-09T09:48:00Z</dcterms:modified>
</cp:coreProperties>
</file>