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100" w:afterAutospacing="0" w:line="11" w:lineRule="atLeast"/>
        <w:ind w:left="0" w:right="0"/>
        <w:jc w:val="center"/>
        <w:rPr>
          <w:b w:val="0"/>
          <w:bCs w:val="0"/>
          <w:color w:val="222222"/>
          <w:sz w:val="30"/>
          <w:szCs w:val="30"/>
        </w:rPr>
      </w:pPr>
      <w:bookmarkStart w:id="0" w:name="_GoBack"/>
      <w:r>
        <w:rPr>
          <w:b w:val="0"/>
          <w:bCs w:val="0"/>
          <w:i w:val="0"/>
          <w:iCs w:val="0"/>
          <w:caps w:val="0"/>
          <w:color w:val="222222"/>
          <w:spacing w:val="0"/>
          <w:sz w:val="30"/>
          <w:szCs w:val="30"/>
          <w:bdr w:val="none" w:color="auto" w:sz="0" w:space="0"/>
          <w:shd w:val="clear" w:fill="FFFFFF"/>
        </w:rPr>
        <w:t>化工学院2023年硕士研究生调剂公告（二）</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999999"/>
          <w:sz w:val="14"/>
          <w:szCs w:val="14"/>
        </w:rPr>
      </w:pPr>
      <w:r>
        <w:rPr>
          <w:rFonts w:ascii="微软雅黑" w:hAnsi="微软雅黑" w:eastAsia="微软雅黑" w:cs="微软雅黑"/>
          <w:i w:val="0"/>
          <w:iCs w:val="0"/>
          <w:caps w:val="0"/>
          <w:color w:val="999999"/>
          <w:spacing w:val="0"/>
          <w:sz w:val="14"/>
          <w:szCs w:val="14"/>
          <w:bdr w:val="none" w:color="auto" w:sz="0" w:space="0"/>
          <w:shd w:val="clear" w:fill="FFFFFF"/>
        </w:rPr>
        <w:t>作者：马云   编辑：王磊   发布时间：2023-04-04   浏览次数：[</w:t>
      </w:r>
      <w:r>
        <w:rPr>
          <w:rFonts w:hint="eastAsia" w:ascii="微软雅黑" w:hAnsi="微软雅黑" w:eastAsia="微软雅黑" w:cs="微软雅黑"/>
          <w:i w:val="0"/>
          <w:iCs w:val="0"/>
          <w:caps w:val="0"/>
          <w:color w:val="999999"/>
          <w:spacing w:val="0"/>
          <w:sz w:val="14"/>
          <w:szCs w:val="14"/>
          <w:bdr w:val="none" w:color="auto" w:sz="0" w:space="0"/>
          <w:shd w:val="clear" w:fill="FFFFFF"/>
        </w:rPr>
        <w:t>2465]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我院2023年硕士研究生部分专业接受考生调剂，现将我院2023年接收调剂考生的有关事项预告如下：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一、接受调剂专业及方向</w:t>
      </w:r>
    </w:p>
    <w:tbl>
      <w:tblPr>
        <w:tblW w:w="8150" w:type="dxa"/>
        <w:tblInd w:w="0" w:type="dxa"/>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Layout w:type="autofit"/>
        <w:tblCellMar>
          <w:top w:w="0" w:type="dxa"/>
          <w:left w:w="0" w:type="dxa"/>
          <w:bottom w:w="0" w:type="dxa"/>
          <w:right w:w="0" w:type="dxa"/>
        </w:tblCellMar>
      </w:tblPr>
      <w:tblGrid>
        <w:gridCol w:w="2170"/>
        <w:gridCol w:w="2760"/>
        <w:gridCol w:w="1682"/>
        <w:gridCol w:w="1538"/>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c>
          <w:tcPr>
            <w:tcW w:w="3430" w:type="dxa"/>
            <w:gridSpan w:val="2"/>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专业名称</w:t>
            </w:r>
          </w:p>
        </w:tc>
        <w:tc>
          <w:tcPr>
            <w:tcW w:w="1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类型</w:t>
            </w:r>
          </w:p>
        </w:tc>
        <w:tc>
          <w:tcPr>
            <w:tcW w:w="10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学习形式</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c>
          <w:tcPr>
            <w:tcW w:w="15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070300化学</w:t>
            </w:r>
          </w:p>
        </w:tc>
        <w:tc>
          <w:tcPr>
            <w:tcW w:w="19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不区分研究方向</w:t>
            </w:r>
          </w:p>
        </w:tc>
        <w:tc>
          <w:tcPr>
            <w:tcW w:w="1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学术型</w:t>
            </w:r>
          </w:p>
        </w:tc>
        <w:tc>
          <w:tcPr>
            <w:tcW w:w="10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全日制</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c>
          <w:tcPr>
            <w:tcW w:w="15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085601材料工程</w:t>
            </w:r>
          </w:p>
        </w:tc>
        <w:tc>
          <w:tcPr>
            <w:tcW w:w="19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方向1：功能复合材料</w:t>
            </w:r>
          </w:p>
        </w:tc>
        <w:tc>
          <w:tcPr>
            <w:tcW w:w="1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专业学位</w:t>
            </w:r>
          </w:p>
        </w:tc>
        <w:tc>
          <w:tcPr>
            <w:tcW w:w="10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全日制</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c>
          <w:tcPr>
            <w:tcW w:w="15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085602化学工程</w:t>
            </w:r>
          </w:p>
        </w:tc>
        <w:tc>
          <w:tcPr>
            <w:tcW w:w="19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不区分研究方向</w:t>
            </w:r>
          </w:p>
        </w:tc>
        <w:tc>
          <w:tcPr>
            <w:tcW w:w="1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专业学位</w:t>
            </w:r>
          </w:p>
        </w:tc>
        <w:tc>
          <w:tcPr>
            <w:tcW w:w="10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全日制</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1.符合调入专业的报考条件（详见我校研究生院网站发布的硕士研究生招生简章中的报考条件及专业目录中的备注要求）。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2.初试成绩符合第一志愿报考专业在B区的初试成绩基本要求。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3.调入专业与第一志愿报考专业相同或相近，应在同一学科门类范围内。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4.初试科目与调入专业初试科目相同或相近，其中初试全国统一命题科目应与调入专业全国统一命题科目相同。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5.满足教育部规定有关调剂的其他要求和学院学科专业要求。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三、复试方式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调剂考生将通过腾讯会议、QQ进行线上复试。考生需准备两个可视机位（电脑、手机均可）用于复试。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1号机位使用腾讯会议软件，置于考生正前方。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2号机位使用QQ软件，置于考生侧后方。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请考生提前下载腾讯会议、QQ并注册，网名修改为“考号后四位-专业-姓名”。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四、调剂注意事项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1.考生须及时登录“中国研究生招生信息网”“网上调剂系统”，按要求提交个人调剂信息。学校根据专业需求和考生初试统考课程成绩，择优向考生发送复试通知；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2.调剂系统开放时间：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化学（070300）：2023年4月6日6:00-18:00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材料工程（085601）：2023年4月6日00:00-4月7日7:00；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化学工程（085602）：2023年4月6日00:00-4月7日7:00；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3.复试时间、复试安排以调剂系统和我院官方网站发布信息为准。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5085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2023-07-11T07:17:39Z</dcterms:created>
  <dc:creator>Administrator</dc:creator>
  <cp:lastModifiedBy>王英</cp:lastModifiedBy>
  <dcterms:modified xsi:type="dcterms:W3CDTF">2023-07-11T07:17:46Z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B37C3D1C4BEF417FAFB185A50D17F5E2</vt:lpwstr>
  </property>
</Properties>
</file>