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BE3" w:rsidRPr="00E06BE3" w:rsidRDefault="00E06BE3" w:rsidP="00E06BE3">
      <w:pPr>
        <w:widowControl/>
        <w:shd w:val="clear" w:color="auto" w:fill="FFFFFF"/>
        <w:spacing w:after="100" w:afterAutospacing="1"/>
        <w:jc w:val="center"/>
        <w:outlineLvl w:val="2"/>
        <w:rPr>
          <w:rFonts w:ascii="文鼎PL细上海宋Uni" w:eastAsia="文鼎PL细上海宋Uni" w:hAnsi="宋体" w:cs="宋体"/>
          <w:color w:val="333333"/>
          <w:kern w:val="0"/>
          <w:sz w:val="27"/>
          <w:szCs w:val="27"/>
        </w:rPr>
      </w:pPr>
      <w:r w:rsidRPr="00E06BE3">
        <w:rPr>
          <w:rFonts w:ascii="文鼎PL细上海宋Uni" w:eastAsia="文鼎PL细上海宋Uni" w:hAnsi="宋体" w:cs="宋体" w:hint="eastAsia"/>
          <w:color w:val="333333"/>
          <w:kern w:val="0"/>
          <w:sz w:val="27"/>
          <w:szCs w:val="27"/>
        </w:rPr>
        <w:t>2023年学院需调剂专业及计划（第二批）</w:t>
      </w:r>
    </w:p>
    <w:p w:rsidR="00E06BE3" w:rsidRPr="00E06BE3" w:rsidRDefault="00E06BE3" w:rsidP="00E06BE3">
      <w:pPr>
        <w:widowControl/>
        <w:shd w:val="clear" w:color="auto" w:fill="FFFFFF"/>
        <w:spacing w:line="720" w:lineRule="atLeast"/>
        <w:jc w:val="center"/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</w:pPr>
      <w:r w:rsidRPr="00E06BE3">
        <w:rPr>
          <w:rFonts w:ascii="文鼎PL细上海宋Uni" w:eastAsia="文鼎PL细上海宋Uni" w:hAnsi="宋体" w:cs="宋体" w:hint="eastAsia"/>
          <w:color w:val="333333"/>
          <w:kern w:val="0"/>
          <w:sz w:val="20"/>
          <w:szCs w:val="20"/>
        </w:rPr>
        <w:t>作者：发布人：经济学院发布时间：2023-04-10浏览次数:356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4"/>
        <w:gridCol w:w="544"/>
        <w:gridCol w:w="813"/>
        <w:gridCol w:w="638"/>
        <w:gridCol w:w="544"/>
        <w:gridCol w:w="544"/>
        <w:gridCol w:w="732"/>
        <w:gridCol w:w="1028"/>
        <w:gridCol w:w="1356"/>
        <w:gridCol w:w="1356"/>
        <w:gridCol w:w="357"/>
      </w:tblGrid>
      <w:tr w:rsidR="00E06BE3" w:rsidRPr="00E06BE3" w:rsidTr="00E06BE3">
        <w:trPr>
          <w:trHeight w:val="780"/>
        </w:trPr>
        <w:tc>
          <w:tcPr>
            <w:tcW w:w="17370" w:type="dxa"/>
            <w:gridSpan w:val="11"/>
            <w:tcBorders>
              <w:bottom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wordWrap w:val="0"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E06BE3" w:rsidRPr="00E06BE3" w:rsidTr="00E06BE3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学院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专业代码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专业名称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学习方式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学位类别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调剂招生计划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进入复试的比例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调剂系统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E06BE3" w:rsidRPr="00E06BE3" w:rsidTr="00E06BE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开启时间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关闭时间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  <w:tr w:rsidR="00E06BE3" w:rsidRPr="00E06BE3" w:rsidTr="00E06BE3">
        <w:trPr>
          <w:trHeight w:val="57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经济学院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020200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应用经济学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全日制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学术学位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 1：1.2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2023年4月10日19:00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center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  <w:r w:rsidRPr="00E06BE3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2023年4月11日11:00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06BE3" w:rsidRPr="00E06BE3" w:rsidRDefault="00E06BE3" w:rsidP="00E06BE3">
            <w:pPr>
              <w:widowControl/>
              <w:jc w:val="left"/>
              <w:rPr>
                <w:rFonts w:ascii="文鼎PL细上海宋Uni" w:eastAsia="文鼎PL细上海宋Uni" w:hAnsi="宋体" w:cs="宋体"/>
                <w:kern w:val="0"/>
                <w:sz w:val="20"/>
                <w:szCs w:val="20"/>
              </w:rPr>
            </w:pPr>
          </w:p>
        </w:tc>
      </w:tr>
    </w:tbl>
    <w:p w:rsidR="0065192B" w:rsidRDefault="0065192B">
      <w:bookmarkStart w:id="0" w:name="_GoBack"/>
      <w:bookmarkEnd w:id="0"/>
    </w:p>
    <w:sectPr w:rsidR="00651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文鼎PL细上海宋Uni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600"/>
    <w:rsid w:val="0065192B"/>
    <w:rsid w:val="00D04600"/>
    <w:rsid w:val="00E0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06BE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06BE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wpvisitcount">
    <w:name w:val="wp_visitcount"/>
    <w:basedOn w:val="a0"/>
    <w:rsid w:val="00E06B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E06BE3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E06BE3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wpvisitcount">
    <w:name w:val="wp_visitcount"/>
    <w:basedOn w:val="a0"/>
    <w:rsid w:val="00E06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0" w:color="DDDDDD"/>
            <w:right w:val="none" w:sz="0" w:space="0" w:color="auto"/>
          </w:divBdr>
          <w:divsChild>
            <w:div w:id="168494126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74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2023-04-28T06:11:00Z</dcterms:created>
  <dcterms:modified xsi:type="dcterms:W3CDTF">2023-04-28T06:12:00Z</dcterms:modified>
</cp:coreProperties>
</file>