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2" w:afterAutospacing="0" w:line="320" w:lineRule="atLeast"/>
        <w:ind w:left="92" w:right="92"/>
        <w:jc w:val="center"/>
        <w:textAlignment w:val="baseline"/>
        <w:rPr>
          <w:rFonts w:ascii="Helvetica" w:hAnsi="Helvetica" w:eastAsia="Helvetica" w:cs="Helvetica"/>
          <w:color w:val="161922"/>
          <w:spacing w:val="0"/>
          <w:sz w:val="24"/>
          <w:szCs w:val="24"/>
        </w:rPr>
      </w:pPr>
      <w:bookmarkStart w:id="0" w:name="_GoBack"/>
      <w:r>
        <w:rPr>
          <w:rFonts w:hint="default" w:ascii="Helvetica" w:hAnsi="Helvetica" w:eastAsia="Helvetica" w:cs="Helvetica"/>
          <w:i w:val="0"/>
          <w:iCs w:val="0"/>
          <w:caps w:val="0"/>
          <w:color w:val="161922"/>
          <w:spacing w:val="0"/>
          <w:sz w:val="24"/>
          <w:szCs w:val="24"/>
          <w:bdr w:val="none" w:color="auto" w:sz="0" w:space="0"/>
          <w:shd w:val="clear" w:fill="FCFCFC"/>
          <w:vertAlign w:val="baseline"/>
        </w:rPr>
        <w:t>西南林业大学2023年硕士研究生招生调剂公告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ind w:left="92" w:right="92" w:firstLine="0"/>
        <w:jc w:val="left"/>
        <w:textAlignment w:val="baseline"/>
        <w:rPr>
          <w:rFonts w:hint="default" w:ascii="Helvetica" w:hAnsi="Helvetica" w:eastAsia="Helvetica" w:cs="Helvetica"/>
          <w:i w:val="0"/>
          <w:iCs w:val="0"/>
          <w:caps w:val="0"/>
          <w:color w:val="A8A8A8"/>
          <w:spacing w:val="0"/>
          <w:sz w:val="14"/>
          <w:szCs w:val="14"/>
        </w:rPr>
      </w:pPr>
      <w:r>
        <w:rPr>
          <w:rFonts w:hint="default" w:ascii="Helvetica" w:hAnsi="Helvetica" w:eastAsia="Helvetica" w:cs="Helvetica"/>
          <w:i w:val="0"/>
          <w:iCs w:val="0"/>
          <w:caps w:val="0"/>
          <w:color w:val="A8A8A8"/>
          <w:spacing w:val="0"/>
          <w:kern w:val="0"/>
          <w:sz w:val="12"/>
          <w:szCs w:val="12"/>
          <w:bdr w:val="none" w:color="auto" w:sz="0" w:space="0"/>
          <w:shd w:val="clear" w:fill="FCFCFC"/>
          <w:vertAlign w:val="baseline"/>
          <w:lang w:val="en-US" w:eastAsia="zh-CN" w:bidi="ar"/>
        </w:rPr>
        <w:t> 2023-04-03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根据我校实际招生计划和一志愿考生复试情况，我校2023年调剂工作拟于4月6日开展，拟接收调剂专业信息详见《西南林业大学2023年硕士研究生调剂信息汇总表》。接收调剂专业及计划余额如有变化，以“中国研究生招生信息网”（以下简称研招网）调剂服务系统正式公布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我校接收调剂考生的有关规定和要求如下：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一、我校调剂工作全部通过“研招网”调剂服务系统进行，其它方式概不受理。考生届时可通过“研招网”调剂服务系统提交调剂志愿。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二、考生申请调剂的基本条件和要求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申请调剂必须符合以下基本条件和要求：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1.考试方式应是全国统考。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3.调剂考生的初试成绩三上线，即考生初试成绩须达到报考专业的国家二区分数线，同时达到拟调剂专业的国家二区分数线和西南林业大学复试分数线。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4.调入专业与第一志愿报考专业相同或相近，应在同一学科门类范围内。初试科目与调入专业初试科目相同或相近，其中初试全国统一命题科目应与调入专业全国统一命题科目一致。外语仅接收英语语种，英语统考科目须与调入专业英语统考科目类别一致或高一个级别；数学统考科目须与调入专业数学统考科目类别一致或高一个级别；其它统考科目须与调入专业统考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5.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调入公共管理（125200）、旅游管理（125400）专业学位的还需符合专业要求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6.第一志愿报考工学照顾专业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工学照顾专业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7.报考法律（非法学）专业学位硕士的考生不得调入其他专业，其他专业的考生也不得调入该专业；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8.非全日制调剂，考生须满足在职定向及接收专业报考条件等要求和教育部调剂录取政策。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9.其它调剂规定和要求以教育部调剂录取政策为准。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请各位考生仔细查看调剂报考条件，以免耽误调剂时机。调剂考生必须符合以上规定和要求，如不符合调剂基本条件和要求而造成无法通过教育部录检系统录检的，由考生自行负责。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三、调剂系统开通时间及设置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1.每次开放调剂服务系统持续时间不低于12个小时。调剂服务系统首次开通时间为4月6日零点，根据调剂志愿填报情况调满即关闭调剂服务系统。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2.我校调剂志愿锁定时间设置为36小时。考生调剂志愿锁定时间到点后，如考生不将志愿撤走，其提交的调剂信息仍然有效；如考生将志愿撤走，其提交的调剂信息将失效。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四、调剂考生遴选原则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根据各专业（领域）招生计划余额情况和考生的初试成绩、报考专业、考试科目、所学专业、学科背景以及其它能反映考生综合素质情况等因素进行综合审核筛选，择优选拔。各专业（领域）调剂工作办法由学院根据学科要求和特点确定，学院根据本学院调剂工作办法择优选拔调剂考生，调剂复试的考生名单由学院在本学院网站进行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五、学校集中调剂时间一般为1-3天。《调剂服务系统》开通后，我校将集中1-3天进行调剂考生遴选工作，确定拟调剂考生人选，请考生耐心等待。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调剂复试考生名单由报考学院分批次在本学院网站公布，不排除有考生放弃复试资格，后续有替补调剂名额的可能性，未选上考生是否保留志愿信息请考生自己斟酌。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集中调剂时间结束后，视生源情况，对少量还有缺额的专业（领域）会进行再次调剂。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六、复试通知接收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对被遴选调剂的考生，由学校研究生招生办公室或学校授权的学院在《调剂服务系统》向考生发复试通知，考生必须在规定的时间内进行回复，不及时回复的视为自动放弃，取消复试资格。已接收复试通知的考生，请按学校发布的复试规定和要求准备相关材料，做好复试准备工作，并按报考学院要求和规定时间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七、复试的相关规定和要求按我校网上公布的复试相关规定和要求执行。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八、调剂具体工作由各专业（领域）所在学院组织进行，有关调剂的具体要求和有关事宜请与报考学院联系。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jc w:val="center"/>
        <w:textAlignment w:val="baseline"/>
        <w:rPr>
          <w:sz w:val="16"/>
          <w:szCs w:val="16"/>
        </w:rPr>
      </w:pPr>
      <w:r>
        <w:rPr>
          <w:rFonts w:hint="default" w:ascii="Helvetica" w:hAnsi="Helvetica" w:eastAsia="Helvetica" w:cs="Helvetica"/>
          <w:i w:val="0"/>
          <w:iCs w:val="0"/>
          <w:caps w:val="0"/>
          <w:color w:val="039505"/>
          <w:spacing w:val="0"/>
          <w:sz w:val="16"/>
          <w:szCs w:val="16"/>
          <w:u w:val="single"/>
          <w:bdr w:val="none" w:color="auto" w:sz="0" w:space="0"/>
          <w:shd w:val="clear" w:fill="FCFCFC"/>
          <w:vertAlign w:val="baseline"/>
        </w:rPr>
        <w:drawing>
          <wp:inline distT="0" distB="0" distL="114300" distR="114300">
            <wp:extent cx="8934450" cy="9705975"/>
            <wp:effectExtent l="0" t="0" r="6350" b="9525"/>
            <wp:docPr id="1" name="图片 1"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8934450" cy="9705975"/>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BC44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yjsy.swfu.edu.cn/wp-content/uploads/2023/04/tjzxdh2023.jpg"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2023-05-14T02:58:31Z</dcterms:created>
  <dc:creator>Administrator</dc:creator>
  <cp:lastModifiedBy>王英</cp:lastModifiedBy>
  <dcterms:modified xsi:type="dcterms:W3CDTF">2023-05-14T02:58:39Z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002BE76FDF0D4FEEAEC7B466E84B6816</vt:lpwstr>
  </property>
</Properties>
</file>