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122E67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22E67"/>
          <w:spacing w:val="0"/>
          <w:sz w:val="28"/>
          <w:szCs w:val="28"/>
          <w:bdr w:val="none" w:color="auto" w:sz="0" w:space="0"/>
        </w:rPr>
        <w:t>西安石油大学石油工程学院关于2023年硕士研究生招生调剂工作细则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 2023-03-27 16:01:00   作者：   来源：   浏览次数：5350</w:t>
      </w:r>
    </w:p>
    <w:p>
      <w:pPr>
        <w:keepNext w:val="0"/>
        <w:keepLines w:val="0"/>
        <w:widowControl/>
        <w:suppressLineNumbers w:val="0"/>
        <w:ind w:left="0" w:firstLine="0"/>
        <w:jc w:val="both"/>
        <w:rPr>
          <w:rFonts w:hint="default" w:ascii="Arial" w:hAnsi="Arial" w:cs="Arial"/>
          <w:i w:val="0"/>
          <w:iCs w:val="0"/>
          <w:caps w:val="0"/>
          <w:color w:val="122E67"/>
          <w:spacing w:val="0"/>
          <w:sz w:val="12"/>
          <w:szCs w:val="12"/>
        </w:rPr>
      </w:pPr>
      <w:r>
        <w:rPr>
          <w:rFonts w:ascii="Arial" w:hAnsi="Arial" w:cs="Arial"/>
          <w:i w:val="0"/>
          <w:iCs w:val="0"/>
          <w:caps w:val="0"/>
          <w:color w:val="999999"/>
          <w:spacing w:val="0"/>
          <w:sz w:val="12"/>
          <w:szCs w:val="12"/>
        </w:rPr>
        <w:pict>
          <v:rect id="_x0000_i1025" o:spt="1" style="height:1.5pt;width:432pt;" fillcolor="#122E67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根据教育部、陕西省教育考试院有关文件精神，结合《西安石油大学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年硕士研究生招生复试录取工作方案》，在确保公平性、科学性的基础上，结合学院实际，制定了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年硕士研究生招生调剂工作细则。内容如下：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0" w:beforeAutospacing="0" w:after="80" w:afterAutospacing="0" w:line="300" w:lineRule="atLeast"/>
        <w:ind w:left="0" w:right="0" w:firstLine="42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一、接收调剂学科（领域）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114925" cy="4352925"/>
            <wp:effectExtent l="0" t="0" r="3175" b="317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435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二、调剂方式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9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我校接收所有调剂考生（既包括接收外单位调剂考生，也包括接收本单位内部调剂考生，以及报考</w:t>
      </w:r>
      <w:r>
        <w:rPr>
          <w:rStyle w:val="6"/>
          <w:rFonts w:hint="default" w:ascii="Arial" w:hAnsi="Arial" w:cs="Arial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“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退役大学生士兵</w:t>
      </w:r>
      <w:r>
        <w:rPr>
          <w:rStyle w:val="6"/>
          <w:rFonts w:hint="default" w:ascii="Arial" w:hAnsi="Arial" w:cs="Arial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”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专项计划与普通计划之间调剂的考生）均须通过教育部指定的</w:t>
      </w:r>
      <w:r>
        <w:rPr>
          <w:rStyle w:val="6"/>
          <w:rFonts w:hint="default" w:ascii="Arial" w:hAnsi="Arial" w:cs="Arial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“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全国硕士研究生招生调剂服务系统</w:t>
      </w:r>
      <w:r>
        <w:rPr>
          <w:rStyle w:val="6"/>
          <w:rFonts w:hint="default" w:ascii="Arial" w:hAnsi="Arial" w:cs="Arial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”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（以下简称</w:t>
      </w:r>
      <w:r>
        <w:rPr>
          <w:rStyle w:val="6"/>
          <w:rFonts w:hint="default" w:ascii="Arial" w:hAnsi="Arial" w:cs="Arial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“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调剂服务系统</w:t>
      </w:r>
      <w:r>
        <w:rPr>
          <w:rStyle w:val="6"/>
          <w:rFonts w:hint="default" w:ascii="Arial" w:hAnsi="Arial" w:cs="Arial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”</w:t>
      </w: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）提出调剂申请。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0" w:beforeAutospacing="0" w:after="80" w:afterAutospacing="0" w:line="300" w:lineRule="atLeast"/>
        <w:ind w:left="0" w:right="0" w:firstLine="42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三、调剂的基本条件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初试成绩符合第一志愿报考学科（领域）（以下简称“专业”）在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A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类地区的全国初试成绩基本要求；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符合我校招生简章中相关专业规定的报考条件；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第一志愿报考专业与调入专业相同或相近，且在同一学科门类范围内。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初试科目应与调入专业初试科目相同或相近，其中初试全国统一命题科目应与调入专业全国统一命题科目相同。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5.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初试科目中含统考数学的专业，不接收未统考数学的考生调剂；初试科目含统考英语科目的专业，不接收其他语种考生调剂。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6.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我校“退役大学生士兵专项计划”如有调剂名额，只接收非全日制专业学位调剂。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0" w:beforeAutospacing="0" w:after="80" w:afterAutospacing="0" w:line="300" w:lineRule="atLeast"/>
        <w:ind w:left="0" w:right="0" w:firstLine="42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四、调剂遴选原则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ascii="Times New Roman" w:hAnsi="Times New Roman" w:cs="Times New Roman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对于申请调剂我校同一专业的考生，学校根据调剂名额，按照考生报考专业与申请调剂专业的初试科目相同或相近，以及考生本科专业与申请调剂专业相同或相近的基本原则，按照优先级顺序遴选调剂复试考生，同一优先级内的考生按照初试成绩由高到低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第一优先级：初试科目名称相同（统考科目代码相同，下同）、本科专业与申请调剂专业相同；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第二优先级：初试科目名称相近、本科专业与申请调剂专业相同；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第三优先级：初试科目名称相同、本科专业与申请调剂专业相近；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第四优先级：初试科目名称相近、本科专业与申请调剂专业相近；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其他考生按照初试成绩由高到低，结合学科方向择优遴选进入复试。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按照硕士研究生招生专业目录和本科专业目录，经学院教授委员会审议通过，研究生院审批后，相同或相近的初试科目、本科专业规定如下：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center"/>
        <w:rPr>
          <w:sz w:val="14"/>
          <w:szCs w:val="14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122E67"/>
          <w:spacing w:val="0"/>
          <w:sz w:val="19"/>
          <w:szCs w:val="19"/>
          <w:bdr w:val="none" w:color="auto" w:sz="0" w:space="0"/>
        </w:rPr>
        <w:t>表</w:t>
      </w:r>
      <w:r>
        <w:rPr>
          <w:rStyle w:val="6"/>
          <w:rFonts w:hint="default" w:ascii="Times New Roman" w:hAnsi="Times New Roman" w:cs="Times New Roman"/>
          <w:i w:val="0"/>
          <w:iCs w:val="0"/>
          <w:caps w:val="0"/>
          <w:color w:val="122E67"/>
          <w:spacing w:val="0"/>
          <w:sz w:val="19"/>
          <w:szCs w:val="19"/>
          <w:bdr w:val="none" w:color="auto" w:sz="0" w:space="0"/>
          <w:lang w:val="en-US"/>
        </w:rPr>
        <w:t>1 </w:t>
      </w:r>
      <w:r>
        <w:rPr>
          <w:rStyle w:val="6"/>
          <w:rFonts w:hint="default" w:ascii="Arial" w:hAnsi="Arial" w:cs="Arial"/>
          <w:i w:val="0"/>
          <w:iCs w:val="0"/>
          <w:caps w:val="0"/>
          <w:color w:val="122E67"/>
          <w:spacing w:val="0"/>
          <w:sz w:val="19"/>
          <w:szCs w:val="19"/>
          <w:bdr w:val="none" w:color="auto" w:sz="0" w:space="0"/>
        </w:rPr>
        <w:t>初试相同、相近科目对照表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6667500" cy="5410200"/>
            <wp:effectExtent l="0" t="0" r="0" b="0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30"/>
        <w:jc w:val="center"/>
        <w:rPr>
          <w:sz w:val="14"/>
          <w:szCs w:val="14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122E67"/>
          <w:spacing w:val="0"/>
          <w:sz w:val="19"/>
          <w:szCs w:val="19"/>
          <w:bdr w:val="none" w:color="auto" w:sz="0" w:space="0"/>
        </w:rPr>
        <w:t>表</w:t>
      </w:r>
      <w:r>
        <w:rPr>
          <w:rStyle w:val="6"/>
          <w:rFonts w:hint="default" w:ascii="Times New Roman" w:hAnsi="Times New Roman" w:cs="Times New Roman"/>
          <w:i w:val="0"/>
          <w:iCs w:val="0"/>
          <w:caps w:val="0"/>
          <w:color w:val="122E67"/>
          <w:spacing w:val="0"/>
          <w:sz w:val="19"/>
          <w:szCs w:val="19"/>
          <w:bdr w:val="none" w:color="auto" w:sz="0" w:space="0"/>
          <w:lang w:val="en-US"/>
        </w:rPr>
        <w:t>2 </w:t>
      </w:r>
      <w:r>
        <w:rPr>
          <w:rStyle w:val="6"/>
          <w:rFonts w:hint="default" w:ascii="Arial" w:hAnsi="Arial" w:cs="Arial"/>
          <w:i w:val="0"/>
          <w:iCs w:val="0"/>
          <w:caps w:val="0"/>
          <w:color w:val="122E67"/>
          <w:spacing w:val="0"/>
          <w:sz w:val="19"/>
          <w:szCs w:val="19"/>
          <w:bdr w:val="none" w:color="auto" w:sz="0" w:space="0"/>
        </w:rPr>
        <w:t>本科专业与申请调剂专业相同、相近对照表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122E67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6667500" cy="2647950"/>
            <wp:effectExtent l="0" t="0" r="0" b="6350"/>
            <wp:docPr id="1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15"/>
          <w:szCs w:val="15"/>
          <w:bdr w:val="none" w:color="auto" w:sz="0" w:space="0"/>
        </w:rPr>
        <w:t>注：新能源科学与工程（地热方向）考生需提交本科阶段成绩单。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90"/>
        <w:jc w:val="both"/>
        <w:rPr>
          <w:sz w:val="14"/>
          <w:szCs w:val="1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学院不以考生提交调剂志愿的时间先后顺序作为遴选条件，或以考生所在单位、行业、地域、学校层次等非学业水平标准限定调剂生源范围，不设置其他歧视性条件。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五、调剂工作程序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学校在“调剂服务系统”设置接收考生调剂的专业及初试成绩要求。调剂系统每次开放时间不低于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12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个小时。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考生须在规定时间内登录“调剂服务系统”填报调剂信息。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学院及时登录“调剂服务系统”对申请调剂复试考生进行审核，遴选拟复试考生。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4.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学校研究生院对各学院提交的拟复试考生进行审核，通过“调剂服务系统”给审核合格的考生发送复试通知。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5.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考生在规定时间内登录“调剂服务系统”接收复试通知，学院在本单位网站（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http://sygc.xsyu.edu.cn/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）公示调剂复试人员名单。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6.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学院组织调剂考生复试、确定拟录取名单后，报研究生院审核后予以公示。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7.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研究生院严格审核调剂拟录取名单，并通过“调剂服务系统”向审核合格的考生发送待录取通知。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8.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接到待录取通知的调剂考生须在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小时内登录“调剂服务系统”予以确认，否则视为自动放弃录取资格。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六、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其它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调剂考生复试、体检、录取、申诉与举报、以及信息公开和监督等事宜参照《西安石油大学石油工程学院</w:t>
      </w:r>
      <w:r>
        <w:rPr>
          <w:rFonts w:hint="default" w:ascii="Arial" w:hAnsi="Arial" w:cs="Arial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年硕士研究生复试录取工作实施细则》执行。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shd w:val="clear" w:fill="FFFFFF"/>
        </w:rPr>
        <w:t>第一志愿报考我院的全日制考生，申请调剂为非全日制，需登录“调剂服务系统”提出调剂申请。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both"/>
        <w:rPr>
          <w:sz w:val="14"/>
          <w:szCs w:val="14"/>
        </w:rPr>
      </w:pPr>
      <w:r>
        <w:rPr>
          <w:rStyle w:val="6"/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七、调剂联系方式：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联 系 人：王老师、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shd w:val="clear" w:fill="FFFFFF"/>
        </w:rPr>
        <w:t>张老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029-88382674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both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电子邮箱：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auto"/>
          <w:spacing w:val="0"/>
          <w:sz w:val="21"/>
          <w:szCs w:val="21"/>
          <w:bdr w:val="none" w:color="auto" w:sz="0" w:space="0"/>
          <w:lang w:val="en-US"/>
        </w:rPr>
        <w:t>1262625314@qq.com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  981277831@qq.com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4050" w:right="0" w:firstLine="420"/>
        <w:jc w:val="righ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4050" w:right="0" w:firstLine="420"/>
        <w:jc w:val="righ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90" w:lineRule="atLeast"/>
        <w:ind w:left="4050" w:right="0" w:firstLine="420"/>
        <w:jc w:val="right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西安石油大学石油工程学院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right"/>
        <w:rPr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                                  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月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  <w:lang w:val="en-US"/>
        </w:rPr>
        <w:t>24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22E67"/>
          <w:spacing w:val="0"/>
          <w:sz w:val="21"/>
          <w:szCs w:val="21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01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2023-05-09T02:02:07Z</dcterms:created>
  <dc:creator>Administrator</dc:creator>
  <cp:lastModifiedBy>王英</cp:lastModifiedBy>
  <dcterms:modified xsi:type="dcterms:W3CDTF">2023-05-09T02:02:18Z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2312058341A848A4BEE9A7F50165866B</vt:lpwstr>
  </property>
</Properties>
</file>