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4"/>
          <w:szCs w:val="24"/>
          <w:bdr w:val="none" w:color="auto" w:sz="0" w:space="0"/>
          <w:shd w:val="clear" w:fill="FFFFFF"/>
        </w:rPr>
        <w:t>能源学院2023年硕士研究生调剂系统第二轮开放公告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6F9"/>
        <w:spacing w:before="150" w:beforeAutospacing="0" w:after="25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A9A9A"/>
          <w:spacing w:val="0"/>
          <w:kern w:val="0"/>
          <w:sz w:val="12"/>
          <w:szCs w:val="12"/>
          <w:bdr w:val="none" w:color="auto" w:sz="0" w:space="0"/>
          <w:shd w:val="clear" w:fill="F2F6F9"/>
          <w:lang w:val="en-US" w:eastAsia="zh-CN" w:bidi="ar"/>
        </w:rPr>
        <w:t>信息来源： 作者： 日期：2023-04-08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40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40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     经学院研究决定，能源学院硕士研究生调剂系统第二轮开放时间：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40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    矿业工程学硕（学科代码：081900）、土木工程学硕（学科代码：081400）、资源与环境非全日制专硕（学科代码：085700），调剂系统开放时间：4月9日0:00-4月10日00:00。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40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     欢迎达到国家A类线的工科相关专业考生调剂到我院以上专业。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240" w:lineRule="auto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能源学院 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502" w:afterAutospacing="0" w:line="240" w:lineRule="auto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8"/>
          <w:szCs w:val="18"/>
          <w:bdr w:val="none" w:color="auto" w:sz="0" w:space="0"/>
          <w:shd w:val="clear" w:fill="FFFFFF"/>
        </w:rPr>
        <w:t>2023年4月8日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BB6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411</Words>
  <Characters>480</Characters>
  <Lines>0</Lines>
  <Paragraphs>0</Paragraphs>
  <TotalTime>0</TotalTime>
  <ScaleCrop>false</ScaleCrop>
  <LinksUpToDate>false</LinksUpToDate>
  <CharactersWithSpaces>531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2023-05-09T09:36:46Z</dcterms:created>
  <dc:creator>Administrator</dc:creator>
  <cp:lastModifiedBy>王英</cp:lastModifiedBy>
  <dcterms:modified xsi:type="dcterms:W3CDTF">2023-05-09T09:37:27Z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4AA5EC5124784683913EFCBD81C393D4</vt:lpwstr>
  </property>
</Properties>
</file>