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5A" w:rsidRPr="005D6D5A" w:rsidRDefault="005D6D5A" w:rsidP="005D6D5A">
      <w:pPr>
        <w:widowControl/>
        <w:pBdr>
          <w:bottom w:val="dashed" w:sz="6" w:space="15" w:color="CCCCCC"/>
        </w:pBdr>
        <w:shd w:val="clear" w:color="auto" w:fill="FFFFFF"/>
        <w:spacing w:line="450" w:lineRule="atLeast"/>
        <w:jc w:val="left"/>
        <w:outlineLvl w:val="1"/>
        <w:rPr>
          <w:rFonts w:ascii="微软雅黑" w:eastAsia="微软雅黑" w:hAnsi="微软雅黑" w:cs="宋体"/>
          <w:b/>
          <w:bCs/>
          <w:color w:val="000000"/>
          <w:kern w:val="0"/>
          <w:sz w:val="36"/>
          <w:szCs w:val="36"/>
        </w:rPr>
      </w:pPr>
      <w:r w:rsidRPr="005D6D5A">
        <w:rPr>
          <w:rFonts w:ascii="微软雅黑" w:eastAsia="微软雅黑" w:hAnsi="微软雅黑" w:cs="宋体" w:hint="eastAsia"/>
          <w:b/>
          <w:bCs/>
          <w:color w:val="000000"/>
          <w:kern w:val="0"/>
          <w:sz w:val="36"/>
          <w:szCs w:val="36"/>
        </w:rPr>
        <w:t>外国语学院2023年硕士研究生招生调剂录取工作实施细则</w:t>
      </w:r>
    </w:p>
    <w:p w:rsidR="005D6D5A" w:rsidRPr="005D6D5A" w:rsidRDefault="005D6D5A" w:rsidP="005D6D5A">
      <w:pPr>
        <w:widowControl/>
        <w:shd w:val="clear" w:color="auto" w:fill="FFFFFF"/>
        <w:wordWrap w:val="0"/>
        <w:spacing w:line="450" w:lineRule="atLeast"/>
        <w:jc w:val="left"/>
        <w:rPr>
          <w:rFonts w:ascii="Verdana" w:eastAsia="宋体" w:hAnsi="Verdana" w:cs="宋体" w:hint="eastAsia"/>
          <w:color w:val="333333"/>
          <w:kern w:val="0"/>
          <w:szCs w:val="21"/>
        </w:rPr>
      </w:pPr>
      <w:r w:rsidRPr="005D6D5A">
        <w:rPr>
          <w:rFonts w:ascii="Verdana" w:eastAsia="宋体" w:hAnsi="Verdana" w:cs="宋体"/>
          <w:color w:val="333333"/>
          <w:kern w:val="0"/>
          <w:szCs w:val="21"/>
        </w:rPr>
        <w:t> </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FangSong_GB2312" w:eastAsia="仿宋" w:hAnsi="FangSong_GB2312" w:cs="宋体"/>
          <w:color w:val="333333"/>
          <w:kern w:val="0"/>
          <w:szCs w:val="21"/>
        </w:rPr>
        <w:t>根据《辽宁师范大学</w:t>
      </w:r>
      <w:r w:rsidRPr="005D6D5A">
        <w:rPr>
          <w:rFonts w:ascii="FangSong_GB2312" w:eastAsia="仿宋" w:hAnsi="FangSong_GB2312" w:cs="宋体"/>
          <w:color w:val="333333"/>
          <w:kern w:val="0"/>
          <w:szCs w:val="21"/>
        </w:rPr>
        <w:t>2023</w:t>
      </w:r>
      <w:r w:rsidRPr="005D6D5A">
        <w:rPr>
          <w:rFonts w:ascii="FangSong_GB2312" w:eastAsia="仿宋" w:hAnsi="FangSong_GB2312" w:cs="宋体"/>
          <w:color w:val="333333"/>
          <w:kern w:val="0"/>
          <w:szCs w:val="21"/>
        </w:rPr>
        <w:t>年硕士研究生招生章程》、《辽宁师范大学</w:t>
      </w:r>
      <w:r w:rsidRPr="005D6D5A">
        <w:rPr>
          <w:rFonts w:ascii="FangSong_GB2312" w:eastAsia="仿宋" w:hAnsi="FangSong_GB2312" w:cs="宋体"/>
          <w:color w:val="333333"/>
          <w:kern w:val="0"/>
          <w:szCs w:val="21"/>
        </w:rPr>
        <w:t>2023</w:t>
      </w:r>
      <w:r w:rsidRPr="005D6D5A">
        <w:rPr>
          <w:rFonts w:ascii="FangSong_GB2312" w:eastAsia="仿宋" w:hAnsi="FangSong_GB2312" w:cs="宋体"/>
          <w:color w:val="333333"/>
          <w:kern w:val="0"/>
          <w:szCs w:val="21"/>
        </w:rPr>
        <w:t>年硕士研究生招生复试、调剂录取工作办法》等文件规定，学院以质量为核心，坚持</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按计划招生、全面衡量、择优录取、宁缺毋滥</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的原则，制定本细则。</w:t>
      </w:r>
    </w:p>
    <w:p w:rsidR="005D6D5A" w:rsidRPr="005D6D5A" w:rsidRDefault="005D6D5A" w:rsidP="005D6D5A">
      <w:pPr>
        <w:widowControl/>
        <w:shd w:val="clear" w:color="auto" w:fill="FFFFFF"/>
        <w:wordWrap w:val="0"/>
        <w:spacing w:line="450" w:lineRule="atLeast"/>
        <w:ind w:firstLine="602"/>
        <w:jc w:val="left"/>
        <w:rPr>
          <w:rFonts w:ascii="Verdana" w:eastAsia="宋体" w:hAnsi="Verdana" w:cs="宋体"/>
          <w:color w:val="333333"/>
          <w:kern w:val="0"/>
          <w:szCs w:val="21"/>
        </w:rPr>
      </w:pPr>
      <w:r w:rsidRPr="005D6D5A">
        <w:rPr>
          <w:rFonts w:ascii="FangSong_GB2312" w:eastAsia="仿宋" w:hAnsi="FangSong_GB2312" w:cs="宋体"/>
          <w:b/>
          <w:bCs/>
          <w:color w:val="333333"/>
          <w:kern w:val="0"/>
          <w:szCs w:val="21"/>
        </w:rPr>
        <w:t>一、调剂专业招生计划和复试比例</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宋体" w:hAnsi="FangSong_GB2312" w:cs="宋体"/>
          <w:color w:val="333333"/>
          <w:kern w:val="0"/>
          <w:szCs w:val="21"/>
        </w:rPr>
        <w:t>1.</w:t>
      </w:r>
      <w:r w:rsidRPr="005D6D5A">
        <w:rPr>
          <w:rFonts w:ascii="FangSong_GB2312" w:eastAsia="仿宋" w:hAnsi="FangSong_GB2312" w:cs="宋体"/>
          <w:color w:val="333333"/>
          <w:kern w:val="0"/>
          <w:szCs w:val="21"/>
        </w:rPr>
        <w:t>调剂专业及计划数以我校</w:t>
      </w:r>
      <w:proofErr w:type="gramStart"/>
      <w:r w:rsidRPr="005D6D5A">
        <w:rPr>
          <w:rFonts w:ascii="FangSong_GB2312" w:eastAsia="仿宋" w:hAnsi="FangSong_GB2312" w:cs="宋体"/>
          <w:color w:val="333333"/>
          <w:kern w:val="0"/>
          <w:szCs w:val="21"/>
        </w:rPr>
        <w:t>研究生院官网和</w:t>
      </w:r>
      <w:proofErr w:type="gramEnd"/>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全国硕士生招生调剂服务系统</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公布的为准。</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宋体" w:hAnsi="FangSong_GB2312" w:cs="宋体"/>
          <w:color w:val="333333"/>
          <w:kern w:val="0"/>
          <w:szCs w:val="21"/>
        </w:rPr>
        <w:t>2.</w:t>
      </w:r>
      <w:r w:rsidRPr="005D6D5A">
        <w:rPr>
          <w:rFonts w:ascii="FangSong_GB2312" w:eastAsia="仿宋" w:hAnsi="FangSong_GB2312" w:cs="宋体"/>
          <w:color w:val="333333"/>
          <w:kern w:val="0"/>
          <w:szCs w:val="21"/>
        </w:rPr>
        <w:t>调剂工作按申报时间批次顺序，每次开放调剂系统持续时间不低于</w:t>
      </w:r>
      <w:r w:rsidRPr="005D6D5A">
        <w:rPr>
          <w:rFonts w:ascii="FangSong_GB2312" w:eastAsia="仿宋" w:hAnsi="FangSong_GB2312" w:cs="宋体"/>
          <w:color w:val="333333"/>
          <w:kern w:val="0"/>
          <w:szCs w:val="21"/>
        </w:rPr>
        <w:t>12</w:t>
      </w:r>
      <w:r w:rsidRPr="005D6D5A">
        <w:rPr>
          <w:rFonts w:ascii="FangSong_GB2312" w:eastAsia="仿宋" w:hAnsi="FangSong_GB2312" w:cs="宋体"/>
          <w:color w:val="333333"/>
          <w:kern w:val="0"/>
          <w:szCs w:val="21"/>
        </w:rPr>
        <w:t>个小时，每次开放系统时间为一个办理批次。根据网上报名情况安排差额复试，批次内差额比例为</w:t>
      </w:r>
      <w:r w:rsidRPr="005D6D5A">
        <w:rPr>
          <w:rFonts w:ascii="FangSong_GB2312" w:eastAsia="仿宋" w:hAnsi="FangSong_GB2312" w:cs="宋体"/>
          <w:color w:val="333333"/>
          <w:kern w:val="0"/>
          <w:szCs w:val="21"/>
        </w:rPr>
        <w:t>300%</w:t>
      </w:r>
      <w:r w:rsidRPr="005D6D5A">
        <w:rPr>
          <w:rFonts w:ascii="FangSong_GB2312" w:eastAsia="仿宋" w:hAnsi="FangSong_GB2312" w:cs="宋体"/>
          <w:color w:val="333333"/>
          <w:kern w:val="0"/>
          <w:szCs w:val="21"/>
        </w:rPr>
        <w:t>（不足</w:t>
      </w:r>
      <w:r w:rsidRPr="005D6D5A">
        <w:rPr>
          <w:rFonts w:ascii="FangSong_GB2312" w:eastAsia="仿宋" w:hAnsi="FangSong_GB2312" w:cs="宋体"/>
          <w:color w:val="333333"/>
          <w:kern w:val="0"/>
          <w:szCs w:val="21"/>
        </w:rPr>
        <w:t>300%</w:t>
      </w:r>
      <w:r w:rsidRPr="005D6D5A">
        <w:rPr>
          <w:rFonts w:ascii="FangSong_GB2312" w:eastAsia="仿宋" w:hAnsi="FangSong_GB2312" w:cs="宋体"/>
          <w:color w:val="333333"/>
          <w:kern w:val="0"/>
          <w:szCs w:val="21"/>
        </w:rPr>
        <w:t>的，所有符合条件的申报考生均进入复试）。末位遴选条件相同的考生，均进入复试。</w:t>
      </w:r>
    </w:p>
    <w:p w:rsidR="005D6D5A" w:rsidRPr="005D6D5A" w:rsidRDefault="005D6D5A" w:rsidP="005D6D5A">
      <w:pPr>
        <w:widowControl/>
        <w:shd w:val="clear" w:color="auto" w:fill="FFFFFF"/>
        <w:wordWrap w:val="0"/>
        <w:spacing w:line="450" w:lineRule="atLeast"/>
        <w:ind w:firstLine="602"/>
        <w:jc w:val="left"/>
        <w:rPr>
          <w:rFonts w:ascii="Verdana" w:eastAsia="宋体" w:hAnsi="Verdana" w:cs="宋体"/>
          <w:color w:val="333333"/>
          <w:kern w:val="0"/>
          <w:szCs w:val="21"/>
        </w:rPr>
      </w:pPr>
      <w:r w:rsidRPr="005D6D5A">
        <w:rPr>
          <w:rFonts w:ascii="FangSong_GB2312" w:eastAsia="仿宋" w:hAnsi="FangSong_GB2312" w:cs="宋体"/>
          <w:b/>
          <w:bCs/>
          <w:color w:val="333333"/>
          <w:kern w:val="0"/>
          <w:szCs w:val="21"/>
        </w:rPr>
        <w:t>二、调剂基本条件和遴选规则</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宋体" w:hAnsi="FangSong_GB2312" w:cs="宋体"/>
          <w:color w:val="333333"/>
          <w:kern w:val="0"/>
          <w:szCs w:val="21"/>
        </w:rPr>
        <w:t>1.</w:t>
      </w:r>
      <w:r w:rsidRPr="005D6D5A">
        <w:rPr>
          <w:rFonts w:ascii="FangSong_GB2312" w:eastAsia="仿宋" w:hAnsi="FangSong_GB2312" w:cs="宋体"/>
          <w:color w:val="333333"/>
          <w:kern w:val="0"/>
          <w:szCs w:val="21"/>
        </w:rPr>
        <w:t>所有调剂考生都需通过</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全国硕士生招生调剂服务系统</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办理相关手续，并参加我校复试。接到复试通知的调剂考生须</w:t>
      </w:r>
      <w:r w:rsidRPr="005D6D5A">
        <w:rPr>
          <w:rFonts w:ascii="FangSong_GB2312" w:eastAsia="仿宋" w:hAnsi="FangSong_GB2312" w:cs="宋体"/>
          <w:color w:val="333333"/>
          <w:kern w:val="0"/>
          <w:szCs w:val="21"/>
        </w:rPr>
        <w:t>12</w:t>
      </w:r>
      <w:r w:rsidRPr="005D6D5A">
        <w:rPr>
          <w:rFonts w:ascii="FangSong_GB2312" w:eastAsia="仿宋" w:hAnsi="FangSong_GB2312" w:cs="宋体"/>
          <w:color w:val="333333"/>
          <w:kern w:val="0"/>
          <w:szCs w:val="21"/>
        </w:rPr>
        <w:t>小时内在调剂系统接收此通知。</w:t>
      </w:r>
      <w:r w:rsidRPr="005D6D5A">
        <w:rPr>
          <w:rFonts w:ascii="FangSong_GB2312" w:eastAsia="仿宋" w:hAnsi="FangSong_GB2312" w:cs="宋体"/>
          <w:color w:val="333333"/>
          <w:kern w:val="0"/>
          <w:szCs w:val="21"/>
        </w:rPr>
        <w:t>36</w:t>
      </w:r>
      <w:r w:rsidRPr="005D6D5A">
        <w:rPr>
          <w:rFonts w:ascii="FangSong_GB2312" w:eastAsia="仿宋" w:hAnsi="FangSong_GB2312" w:cs="宋体"/>
          <w:color w:val="333333"/>
          <w:kern w:val="0"/>
          <w:szCs w:val="21"/>
        </w:rPr>
        <w:t>小时内未被我校选定的申请者，</w:t>
      </w:r>
      <w:proofErr w:type="gramStart"/>
      <w:r w:rsidRPr="005D6D5A">
        <w:rPr>
          <w:rFonts w:ascii="FangSong_GB2312" w:eastAsia="仿宋" w:hAnsi="FangSong_GB2312" w:cs="宋体"/>
          <w:color w:val="333333"/>
          <w:kern w:val="0"/>
          <w:szCs w:val="21"/>
        </w:rPr>
        <w:t>网报调剂</w:t>
      </w:r>
      <w:proofErr w:type="gramEnd"/>
      <w:r w:rsidRPr="005D6D5A">
        <w:rPr>
          <w:rFonts w:ascii="FangSong_GB2312" w:eastAsia="仿宋" w:hAnsi="FangSong_GB2312" w:cs="宋体"/>
          <w:color w:val="333333"/>
          <w:kern w:val="0"/>
          <w:szCs w:val="21"/>
        </w:rPr>
        <w:t>志愿自动解除锁定。</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宋体" w:hAnsi="FangSong_GB2312" w:cs="宋体"/>
          <w:color w:val="333333"/>
          <w:kern w:val="0"/>
          <w:szCs w:val="21"/>
        </w:rPr>
        <w:t>2.</w:t>
      </w:r>
      <w:r w:rsidRPr="005D6D5A">
        <w:rPr>
          <w:rFonts w:ascii="FangSong_GB2312" w:eastAsia="仿宋" w:hAnsi="FangSong_GB2312" w:cs="宋体"/>
          <w:color w:val="333333"/>
          <w:kern w:val="0"/>
          <w:szCs w:val="21"/>
        </w:rPr>
        <w:t>考生调剂基本条件</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仿宋" w:hAnsi="FangSong_GB2312" w:cs="宋体"/>
          <w:color w:val="333333"/>
          <w:kern w:val="0"/>
          <w:szCs w:val="21"/>
        </w:rPr>
        <w:t xml:space="preserve"> </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1</w:t>
      </w:r>
      <w:r w:rsidRPr="005D6D5A">
        <w:rPr>
          <w:rFonts w:ascii="FangSong_GB2312" w:eastAsia="仿宋" w:hAnsi="FangSong_GB2312" w:cs="宋体"/>
          <w:color w:val="333333"/>
          <w:kern w:val="0"/>
          <w:szCs w:val="21"/>
        </w:rPr>
        <w:t>）符合调入专业的报考条件；</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仿宋" w:hAnsi="FangSong_GB2312" w:cs="宋体"/>
          <w:color w:val="333333"/>
          <w:kern w:val="0"/>
          <w:szCs w:val="21"/>
        </w:rPr>
        <w:t xml:space="preserve"> </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2</w:t>
      </w:r>
      <w:r w:rsidRPr="005D6D5A">
        <w:rPr>
          <w:rFonts w:ascii="FangSong_GB2312" w:eastAsia="仿宋" w:hAnsi="FangSong_GB2312" w:cs="宋体"/>
          <w:color w:val="333333"/>
          <w:kern w:val="0"/>
          <w:szCs w:val="21"/>
        </w:rPr>
        <w:t>）初试成绩</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含加分，下同</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须同时满足第一志愿报考专业和拟调入专业的全国初试成绩基本要求；</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仿宋" w:hAnsi="FangSong_GB2312" w:cs="宋体"/>
          <w:color w:val="333333"/>
          <w:kern w:val="0"/>
          <w:szCs w:val="21"/>
        </w:rPr>
        <w:t xml:space="preserve"> </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3</w:t>
      </w:r>
      <w:r w:rsidRPr="005D6D5A">
        <w:rPr>
          <w:rFonts w:ascii="FangSong_GB2312" w:eastAsia="仿宋" w:hAnsi="FangSong_GB2312" w:cs="宋体"/>
          <w:color w:val="333333"/>
          <w:kern w:val="0"/>
          <w:szCs w:val="21"/>
        </w:rPr>
        <w:t>）调入专业与第一志愿报考专业相同或相近，应在同一学科门类范围内（一般专业代码前</w:t>
      </w:r>
      <w:r w:rsidRPr="005D6D5A">
        <w:rPr>
          <w:rFonts w:ascii="FangSong_GB2312" w:eastAsia="仿宋" w:hAnsi="FangSong_GB2312" w:cs="宋体"/>
          <w:color w:val="333333"/>
          <w:kern w:val="0"/>
          <w:szCs w:val="21"/>
        </w:rPr>
        <w:t>4</w:t>
      </w:r>
      <w:r w:rsidRPr="005D6D5A">
        <w:rPr>
          <w:rFonts w:ascii="FangSong_GB2312" w:eastAsia="仿宋" w:hAnsi="FangSong_GB2312" w:cs="宋体"/>
          <w:color w:val="333333"/>
          <w:kern w:val="0"/>
          <w:szCs w:val="21"/>
        </w:rPr>
        <w:t>位相同，可视为专业相近）；</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仿宋" w:hAnsi="FangSong_GB2312" w:cs="宋体"/>
          <w:color w:val="333333"/>
          <w:kern w:val="0"/>
          <w:szCs w:val="21"/>
        </w:rPr>
        <w:t xml:space="preserve"> </w:t>
      </w:r>
      <w:r w:rsidRPr="005D6D5A">
        <w:rPr>
          <w:rFonts w:ascii="FangSong_GB2312" w:eastAsia="仿宋" w:hAnsi="FangSong_GB2312" w:cs="宋体"/>
          <w:color w:val="333333"/>
          <w:kern w:val="0"/>
          <w:szCs w:val="21"/>
        </w:rPr>
        <w:t>（</w:t>
      </w:r>
      <w:r w:rsidRPr="005D6D5A">
        <w:rPr>
          <w:rFonts w:ascii="FangSong_GB2312" w:eastAsia="仿宋" w:hAnsi="FangSong_GB2312" w:cs="宋体"/>
          <w:color w:val="333333"/>
          <w:kern w:val="0"/>
          <w:szCs w:val="21"/>
        </w:rPr>
        <w:t>4</w:t>
      </w:r>
      <w:r w:rsidRPr="005D6D5A">
        <w:rPr>
          <w:rFonts w:ascii="FangSong_GB2312" w:eastAsia="仿宋" w:hAnsi="FangSong_GB2312" w:cs="宋体"/>
          <w:color w:val="333333"/>
          <w:kern w:val="0"/>
          <w:szCs w:val="21"/>
        </w:rPr>
        <w:t>）初试科目与调入专业初试科目相同或相近，其中初试全国统一命题科目应与调入专业全国统一命题科目相同；</w:t>
      </w:r>
      <w:r w:rsidRPr="005D6D5A">
        <w:rPr>
          <w:rFonts w:ascii="宋体" w:eastAsia="宋体" w:hAnsi="宋体" w:cs="宋体" w:hint="eastAsia"/>
          <w:color w:val="333333"/>
          <w:kern w:val="0"/>
          <w:szCs w:val="21"/>
        </w:rPr>
        <w:t> </w:t>
      </w:r>
      <w:r w:rsidRPr="005D6D5A">
        <w:rPr>
          <w:rFonts w:ascii="宋体" w:eastAsia="宋体" w:hAnsi="宋体" w:cs="宋体"/>
          <w:color w:val="333333"/>
          <w:kern w:val="0"/>
          <w:szCs w:val="21"/>
        </w:rPr>
        <w:t> </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w:t>
      </w:r>
      <w:r w:rsidRPr="005D6D5A">
        <w:rPr>
          <w:rFonts w:ascii="FangSong_GB2312" w:eastAsia="FangSong_GB2312" w:hAnsi="FangSong_GB2312" w:cs="宋体" w:hint="eastAsia"/>
          <w:color w:val="333333"/>
          <w:kern w:val="0"/>
          <w:szCs w:val="21"/>
        </w:rPr>
        <w:lastRenderedPageBreak/>
        <w:t>生若调入照顾专业，其初试成绩必须符合调入地区对应的非照顾专业学科门类（类别）的全国初试成绩基本要求；</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（7）第一志愿报考法律（非法学）专业学位硕士的考生不得调入其他专业，其他专业的考生也不得调入该专业；</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（9）初试外语语种与调入专业要求的外语语种相同。</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（10）公共管理、旅游管理等专业需满足报考的工作年限要求；</w:t>
      </w:r>
    </w:p>
    <w:p w:rsidR="005D6D5A" w:rsidRPr="005D6D5A" w:rsidRDefault="005D6D5A" w:rsidP="005D6D5A">
      <w:pPr>
        <w:widowControl/>
        <w:shd w:val="clear" w:color="auto" w:fill="FFFFFF"/>
        <w:wordWrap w:val="0"/>
        <w:spacing w:line="450" w:lineRule="atLeast"/>
        <w:ind w:firstLine="3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（11）申请调剂到非全日制的考生应为定向就业人员，同时需提供《辽宁师范大学研究生院定向培养硕士学位研究生协议书》。</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3.遴选原则</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一是须确定考生符合调剂基本条件，二是根据考生初试成绩、其前置学历所学专业与调剂专业的相似度等因素综合评价予以确定。</w:t>
      </w:r>
    </w:p>
    <w:p w:rsidR="005D6D5A" w:rsidRPr="005D6D5A" w:rsidRDefault="005D6D5A" w:rsidP="005D6D5A">
      <w:pPr>
        <w:widowControl/>
        <w:shd w:val="clear" w:color="auto" w:fill="FFFFFF"/>
        <w:wordWrap w:val="0"/>
        <w:spacing w:line="450" w:lineRule="atLeast"/>
        <w:ind w:firstLine="602"/>
        <w:jc w:val="left"/>
        <w:rPr>
          <w:rFonts w:ascii="Verdana" w:eastAsia="宋体" w:hAnsi="Verdana" w:cs="宋体"/>
          <w:color w:val="333333"/>
          <w:kern w:val="0"/>
          <w:szCs w:val="21"/>
        </w:rPr>
      </w:pPr>
      <w:r w:rsidRPr="005D6D5A">
        <w:rPr>
          <w:rFonts w:ascii="FangSong_GB2312" w:eastAsia="FangSong_GB2312" w:hAnsi="FangSong_GB2312" w:cs="宋体" w:hint="eastAsia"/>
          <w:b/>
          <w:bCs/>
          <w:color w:val="333333"/>
          <w:kern w:val="0"/>
          <w:szCs w:val="21"/>
        </w:rPr>
        <w:t>三、资格审查</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proofErr w:type="gramStart"/>
      <w:r w:rsidRPr="005D6D5A">
        <w:rPr>
          <w:rFonts w:ascii="FangSong_GB2312" w:eastAsia="FangSong_GB2312" w:hAnsi="FangSong_GB2312" w:cs="宋体" w:hint="eastAsia"/>
          <w:color w:val="333333"/>
          <w:kern w:val="0"/>
          <w:szCs w:val="21"/>
        </w:rPr>
        <w:t>请获得</w:t>
      </w:r>
      <w:proofErr w:type="gramEnd"/>
      <w:r w:rsidRPr="005D6D5A">
        <w:rPr>
          <w:rFonts w:ascii="FangSong_GB2312" w:eastAsia="FangSong_GB2312" w:hAnsi="FangSong_GB2312" w:cs="宋体" w:hint="eastAsia"/>
          <w:color w:val="333333"/>
          <w:kern w:val="0"/>
          <w:szCs w:val="21"/>
        </w:rPr>
        <w:t>复试资格的考生在4月7日上午11:00前将含有以下9项内容的电子版（扫描件或照片）按顺序合成为一个PDF文件发送至我院指定邮箱：waiguoyu0321@163.com。PDF文件命名规则：报考专业+准考证号+姓名+资格审核资料+手机号。</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严格审查考生复试资格：在复试前对考生资格进行网络线上审查。审查的主要内容有以下9项：</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*（1）本人有效居民身份证（正反面）和初试准考证；</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lastRenderedPageBreak/>
        <w:t>*（2）往届毕业生提交学位证书和毕业证书、“学信网”《教育部学历证书电子注册备案表》；在境外获得学历学位的考生，提供由教育部留学服务中心出具的《国外学历学位认证书》，无此证明者不予复试；</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*（3）应届本科毕业生提交就读学校有效学生证、“学信网”《教育部学籍在线验证报告》；</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*（4）同等学力考生提交国家承认学历的毕业证书、“学信网”《教育部学历证书电子注册备案表》；</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*（5）《辽宁师范大学2023年硕士研究生招生复试现实表现表》（附件一）；</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*（6）非全日制考生须提供由人事部门开具的在职证明或《辽宁师范大学研究生院定向培养硕士学位研究生协议书》（附件二）；</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*（7）“退役大学生士兵”专项计划的考生需要提供《应征公民入伍批准书》和《退出现役证》；</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*（8）《辽宁师范大学</w:t>
      </w: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2023</w:t>
      </w: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年硕士研究生诚信复试承诺书》（附件三）；</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（9）参加复试的考生可提供能证明自己研究能力的各种背景材料，如正式发表的文章、大学学习成绩单、科研成果鉴定书、获奖证书、本科毕业论文概要、参加过的研究项目、专家推荐信等。</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注：以上带*材料为考生必须提交的，第（9）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5D6D5A" w:rsidRPr="005D6D5A" w:rsidRDefault="005D6D5A" w:rsidP="005D6D5A">
      <w:pPr>
        <w:widowControl/>
        <w:shd w:val="clear" w:color="auto" w:fill="FFFFFF"/>
        <w:wordWrap w:val="0"/>
        <w:spacing w:line="450" w:lineRule="atLeast"/>
        <w:ind w:firstLine="602"/>
        <w:jc w:val="left"/>
        <w:rPr>
          <w:rFonts w:ascii="Verdana" w:eastAsia="宋体" w:hAnsi="Verdana" w:cs="宋体"/>
          <w:color w:val="333333"/>
          <w:kern w:val="0"/>
          <w:szCs w:val="21"/>
        </w:rPr>
      </w:pPr>
      <w:r w:rsidRPr="005D6D5A">
        <w:rPr>
          <w:rFonts w:ascii="FangSong_GB2312" w:eastAsia="FangSong_GB2312" w:hAnsi="FangSong_GB2312" w:cs="宋体" w:hint="eastAsia"/>
          <w:b/>
          <w:bCs/>
          <w:color w:val="333333"/>
          <w:kern w:val="0"/>
          <w:szCs w:val="21"/>
        </w:rPr>
        <w:t>四</w:t>
      </w:r>
      <w:r w:rsidRPr="005D6D5A">
        <w:rPr>
          <w:rFonts w:ascii="FangSong_GB2312" w:eastAsia="FangSong_GB2312" w:hAnsi="FangSong_GB2312" w:cs="宋体" w:hint="eastAsia"/>
          <w:color w:val="333333"/>
          <w:kern w:val="0"/>
          <w:szCs w:val="21"/>
        </w:rPr>
        <w:t>、</w:t>
      </w:r>
      <w:r w:rsidRPr="005D6D5A">
        <w:rPr>
          <w:rFonts w:ascii="FangSong_GB2312" w:eastAsia="FangSong_GB2312" w:hAnsi="FangSong_GB2312" w:cs="宋体" w:hint="eastAsia"/>
          <w:b/>
          <w:bCs/>
          <w:color w:val="333333"/>
          <w:kern w:val="0"/>
          <w:szCs w:val="21"/>
        </w:rPr>
        <w:t>复试方式和时间</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1.方式：综合各方面情况，我校2023年硕士研究生招生复试主要采取网络远程面试方式，复试内容将通过面试形式进行考核。</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2.复试模拟演练：我院4月7日下午1:00-3:00，采取“学信网”复试平台对考生进行远程复试模拟演练。</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现将模拟演练有关事项通知如下：</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每名考生连线时间一般不超过3分钟。</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请考生务必准备好复试使用的设备和环境。对于使用的复试软件、硬件、环境未达到复试要求的考生，连线老师会提出改进要求，考生务必严格落实。</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3.正式复试时间：4月8日上午8:30开始</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各专业分组情况考生可当天早上登录系统查看。</w:t>
      </w:r>
    </w:p>
    <w:p w:rsidR="005D6D5A" w:rsidRPr="005D6D5A" w:rsidRDefault="005D6D5A" w:rsidP="005D6D5A">
      <w:pPr>
        <w:widowControl/>
        <w:shd w:val="clear" w:color="auto" w:fill="FFFFFF"/>
        <w:wordWrap w:val="0"/>
        <w:spacing w:line="450" w:lineRule="atLeast"/>
        <w:ind w:firstLine="602"/>
        <w:jc w:val="left"/>
        <w:rPr>
          <w:rFonts w:ascii="Verdana" w:eastAsia="宋体" w:hAnsi="Verdana" w:cs="宋体"/>
          <w:color w:val="333333"/>
          <w:kern w:val="0"/>
          <w:szCs w:val="21"/>
        </w:rPr>
      </w:pPr>
      <w:r w:rsidRPr="005D6D5A">
        <w:rPr>
          <w:rFonts w:ascii="FangSong_GB2312" w:eastAsia="FangSong_GB2312" w:hAnsi="FangSong_GB2312" w:cs="宋体" w:hint="eastAsia"/>
          <w:b/>
          <w:bCs/>
          <w:color w:val="333333"/>
          <w:kern w:val="0"/>
          <w:szCs w:val="21"/>
        </w:rPr>
        <w:t>五、复试内容及要求</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lastRenderedPageBreak/>
        <w:t>1.综合能力考核：外语口语听力交流能力10分、专业知识考核100分和综合素质40分，合计150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5D6D5A" w:rsidRPr="005D6D5A" w:rsidRDefault="005D6D5A" w:rsidP="005D6D5A">
      <w:pPr>
        <w:widowControl/>
        <w:shd w:val="clear" w:color="auto" w:fill="FFFFFF"/>
        <w:wordWrap w:val="0"/>
        <w:spacing w:line="450" w:lineRule="atLeast"/>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复试科目如下，以面试形式表达：</w:t>
      </w:r>
    </w:p>
    <w:tbl>
      <w:tblPr>
        <w:tblW w:w="5280" w:type="dxa"/>
        <w:jc w:val="center"/>
        <w:tblCellMar>
          <w:left w:w="0" w:type="dxa"/>
          <w:right w:w="0" w:type="dxa"/>
        </w:tblCellMar>
        <w:tblLook w:val="04A0" w:firstRow="1" w:lastRow="0" w:firstColumn="1" w:lastColumn="0" w:noHBand="0" w:noVBand="1"/>
      </w:tblPr>
      <w:tblGrid>
        <w:gridCol w:w="3300"/>
        <w:gridCol w:w="1980"/>
      </w:tblGrid>
      <w:tr w:rsidR="005D6D5A" w:rsidRPr="005D6D5A" w:rsidTr="005D6D5A">
        <w:trPr>
          <w:jc w:val="center"/>
        </w:trPr>
        <w:tc>
          <w:tcPr>
            <w:tcW w:w="330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专业</w:t>
            </w:r>
          </w:p>
        </w:tc>
        <w:tc>
          <w:tcPr>
            <w:tcW w:w="198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科目</w:t>
            </w:r>
          </w:p>
        </w:tc>
      </w:tr>
      <w:tr w:rsidR="005D6D5A" w:rsidRPr="005D6D5A" w:rsidTr="005D6D5A">
        <w:trPr>
          <w:jc w:val="center"/>
        </w:trPr>
        <w:tc>
          <w:tcPr>
            <w:tcW w:w="330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俄语语言文学</w:t>
            </w:r>
          </w:p>
        </w:tc>
        <w:tc>
          <w:tcPr>
            <w:tcW w:w="198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口语、翻译与写作</w:t>
            </w:r>
          </w:p>
        </w:tc>
      </w:tr>
      <w:tr w:rsidR="005D6D5A" w:rsidRPr="005D6D5A" w:rsidTr="005D6D5A">
        <w:trPr>
          <w:jc w:val="center"/>
        </w:trPr>
        <w:tc>
          <w:tcPr>
            <w:tcW w:w="330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外国语言学及应用语言学（英语）</w:t>
            </w:r>
          </w:p>
        </w:tc>
        <w:tc>
          <w:tcPr>
            <w:tcW w:w="198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口语、翻译与写作</w:t>
            </w:r>
          </w:p>
        </w:tc>
      </w:tr>
      <w:tr w:rsidR="005D6D5A" w:rsidRPr="005D6D5A" w:rsidTr="005D6D5A">
        <w:trPr>
          <w:jc w:val="center"/>
        </w:trPr>
        <w:tc>
          <w:tcPr>
            <w:tcW w:w="330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翻译硕士（英语、日语、俄语）</w:t>
            </w:r>
          </w:p>
        </w:tc>
        <w:tc>
          <w:tcPr>
            <w:tcW w:w="198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口语、翻译与写作</w:t>
            </w:r>
          </w:p>
        </w:tc>
      </w:tr>
      <w:tr w:rsidR="005D6D5A" w:rsidRPr="005D6D5A" w:rsidTr="005D6D5A">
        <w:trPr>
          <w:jc w:val="center"/>
        </w:trPr>
        <w:tc>
          <w:tcPr>
            <w:tcW w:w="330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学科教学（英语）(非全日制)</w:t>
            </w:r>
          </w:p>
        </w:tc>
        <w:tc>
          <w:tcPr>
            <w:tcW w:w="1980" w:type="dxa"/>
            <w:tcBorders>
              <w:top w:val="single" w:sz="8" w:space="0" w:color="auto"/>
              <w:left w:val="single" w:sz="8" w:space="0" w:color="auto"/>
              <w:bottom w:val="single" w:sz="8" w:space="0" w:color="auto"/>
              <w:right w:val="single" w:sz="8" w:space="0" w:color="auto"/>
            </w:tcBorders>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kern w:val="0"/>
                <w:szCs w:val="21"/>
              </w:rPr>
              <w:t>口语、翻译与写作</w:t>
            </w:r>
          </w:p>
        </w:tc>
      </w:tr>
    </w:tbl>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2.同等学力考生（专科生和大学本科结业）须再加试两门与报考专业相关的本科主干课程。加试采用面试形式进行，每门满分100分，面试时间一般不少于30分钟。同等学力加试时间为4月8日下午2:00</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加试科目如下，以面试形式表达：</w:t>
      </w:r>
    </w:p>
    <w:tbl>
      <w:tblPr>
        <w:tblW w:w="6757" w:type="dxa"/>
        <w:jc w:val="center"/>
        <w:tblCellMar>
          <w:left w:w="0" w:type="dxa"/>
          <w:right w:w="0" w:type="dxa"/>
        </w:tblCellMar>
        <w:tblLook w:val="04A0" w:firstRow="1" w:lastRow="0" w:firstColumn="1" w:lastColumn="0" w:noHBand="0" w:noVBand="1"/>
      </w:tblPr>
      <w:tblGrid>
        <w:gridCol w:w="5259"/>
        <w:gridCol w:w="1498"/>
      </w:tblGrid>
      <w:tr w:rsidR="005D6D5A" w:rsidRPr="005D6D5A" w:rsidTr="005D6D5A">
        <w:trPr>
          <w:jc w:val="center"/>
        </w:trPr>
        <w:tc>
          <w:tcPr>
            <w:tcW w:w="5265"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专业</w:t>
            </w:r>
          </w:p>
        </w:tc>
        <w:tc>
          <w:tcPr>
            <w:tcW w:w="1500"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科目</w:t>
            </w:r>
          </w:p>
        </w:tc>
      </w:tr>
      <w:tr w:rsidR="005D6D5A" w:rsidRPr="005D6D5A" w:rsidTr="005D6D5A">
        <w:trPr>
          <w:jc w:val="center"/>
        </w:trPr>
        <w:tc>
          <w:tcPr>
            <w:tcW w:w="5265"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left"/>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英语口译、外国语言学及应用语言学（英语）、学科教学（英语）(非全日制)</w:t>
            </w:r>
          </w:p>
        </w:tc>
        <w:tc>
          <w:tcPr>
            <w:tcW w:w="1500"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综合英语</w:t>
            </w:r>
          </w:p>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英文写作</w:t>
            </w:r>
          </w:p>
        </w:tc>
      </w:tr>
      <w:tr w:rsidR="005D6D5A" w:rsidRPr="005D6D5A" w:rsidTr="005D6D5A">
        <w:trPr>
          <w:jc w:val="center"/>
        </w:trPr>
        <w:tc>
          <w:tcPr>
            <w:tcW w:w="5265"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日语口译</w:t>
            </w:r>
          </w:p>
        </w:tc>
        <w:tc>
          <w:tcPr>
            <w:tcW w:w="1500"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综合日语</w:t>
            </w:r>
          </w:p>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日文写作</w:t>
            </w:r>
          </w:p>
        </w:tc>
      </w:tr>
      <w:tr w:rsidR="005D6D5A" w:rsidRPr="005D6D5A" w:rsidTr="005D6D5A">
        <w:trPr>
          <w:jc w:val="center"/>
        </w:trPr>
        <w:tc>
          <w:tcPr>
            <w:tcW w:w="5265"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俄语语言文学、俄语口译</w:t>
            </w:r>
          </w:p>
        </w:tc>
        <w:tc>
          <w:tcPr>
            <w:tcW w:w="1500" w:type="dxa"/>
            <w:tcBorders>
              <w:top w:val="single" w:sz="8" w:space="0" w:color="auto"/>
              <w:left w:val="single" w:sz="8" w:space="0" w:color="auto"/>
              <w:bottom w:val="single" w:sz="8" w:space="0" w:color="auto"/>
              <w:right w:val="single" w:sz="8" w:space="0" w:color="auto"/>
            </w:tcBorders>
            <w:vAlign w:val="center"/>
            <w:hideMark/>
          </w:tcPr>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综合俄语</w:t>
            </w:r>
          </w:p>
          <w:p w:rsidR="005D6D5A" w:rsidRPr="005D6D5A" w:rsidRDefault="005D6D5A" w:rsidP="005D6D5A">
            <w:pPr>
              <w:widowControl/>
              <w:jc w:val="center"/>
              <w:rPr>
                <w:rFonts w:ascii="宋体" w:eastAsia="宋体" w:hAnsi="宋体" w:cs="宋体"/>
                <w:kern w:val="0"/>
                <w:sz w:val="18"/>
                <w:szCs w:val="18"/>
              </w:rPr>
            </w:pPr>
            <w:r w:rsidRPr="005D6D5A">
              <w:rPr>
                <w:rFonts w:ascii="FangSong_GB2312" w:eastAsia="FangSong_GB2312" w:hAnsi="FangSong_GB2312" w:cs="宋体" w:hint="eastAsia"/>
                <w:color w:val="000000"/>
                <w:kern w:val="0"/>
                <w:szCs w:val="21"/>
              </w:rPr>
              <w:t>俄文写作</w:t>
            </w:r>
          </w:p>
        </w:tc>
      </w:tr>
    </w:tbl>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3.思想政治素质和品德考核。思想政治素质和品德考核主要是考核考生本人的现实表现，内容应包括考生的政治态度、思想表现、道德品质、遵纪守法、诚实守信等方面。</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对成人教育应届本科毕业生及复试时尚未取得本科毕业证书的自考和网络教育考生不加试。</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4.每生面试时间一般不少于20分钟。</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5.关于网络远程复试系统。我校复试首选“学信网”的“</w:t>
      </w:r>
      <w:proofErr w:type="gramStart"/>
      <w:r w:rsidRPr="005D6D5A">
        <w:rPr>
          <w:rFonts w:ascii="FangSong_GB2312" w:eastAsia="FangSong_GB2312" w:hAnsi="FangSong_GB2312" w:cs="宋体" w:hint="eastAsia"/>
          <w:color w:val="333333"/>
          <w:kern w:val="0"/>
          <w:szCs w:val="21"/>
        </w:rPr>
        <w:t>研</w:t>
      </w:r>
      <w:proofErr w:type="gramEnd"/>
      <w:r w:rsidRPr="005D6D5A">
        <w:rPr>
          <w:rFonts w:ascii="FangSong_GB2312" w:eastAsia="FangSong_GB2312" w:hAnsi="FangSong_GB2312" w:cs="宋体" w:hint="eastAsia"/>
          <w:color w:val="333333"/>
          <w:kern w:val="0"/>
          <w:szCs w:val="21"/>
        </w:rPr>
        <w:t>招远程复试系统”。 网络远程复试的具体操作详见研究生院网站《辽宁师范大学2023年硕士研究生招生考试网络远程复试考生须知》</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考生要做到：①提前准备和调试好硬件设备：电脑、高清摄像头、话筒、音箱等。如果电脑本身配置的摄像头、话筒效果较好，可直接使用；如果效果不理想，需要额外配备；②提前熟悉复试流程和软件操作，确保复试</w:t>
      </w:r>
      <w:proofErr w:type="gramStart"/>
      <w:r w:rsidRPr="005D6D5A">
        <w:rPr>
          <w:rFonts w:ascii="FangSong_GB2312" w:eastAsia="FangSong_GB2312" w:hAnsi="FangSong_GB2312" w:cs="宋体" w:hint="eastAsia"/>
          <w:color w:val="333333"/>
          <w:kern w:val="0"/>
          <w:szCs w:val="21"/>
        </w:rPr>
        <w:t>时网络</w:t>
      </w:r>
      <w:proofErr w:type="gramEnd"/>
      <w:r w:rsidRPr="005D6D5A">
        <w:rPr>
          <w:rFonts w:ascii="FangSong_GB2312" w:eastAsia="FangSong_GB2312" w:hAnsi="FangSong_GB2312" w:cs="宋体" w:hint="eastAsia"/>
          <w:color w:val="333333"/>
          <w:kern w:val="0"/>
          <w:szCs w:val="21"/>
        </w:rPr>
        <w:t>稳定、畅通，视频画面清晰，音频传输流畅。具体要求另行通知；③场地要求安静、无干扰、光线适宜、网络信号良好、相对封闭的</w:t>
      </w:r>
      <w:r w:rsidRPr="005D6D5A">
        <w:rPr>
          <w:rFonts w:ascii="FangSong_GB2312" w:eastAsia="FangSong_GB2312" w:hAnsi="FangSong_GB2312" w:cs="宋体" w:hint="eastAsia"/>
          <w:color w:val="333333"/>
          <w:kern w:val="0"/>
          <w:szCs w:val="21"/>
        </w:rPr>
        <w:lastRenderedPageBreak/>
        <w:t>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6.依照相关文件，我校认为有必要时，可对相关考生再次复试。</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7.按照研究生招生复试相关保密管理规定，任何人员和机构（学校授权除外）不得对复试过程录音录像、拍照、截</w:t>
      </w:r>
      <w:proofErr w:type="gramStart"/>
      <w:r w:rsidRPr="005D6D5A">
        <w:rPr>
          <w:rFonts w:ascii="FangSong_GB2312" w:eastAsia="FangSong_GB2312" w:hAnsi="FangSong_GB2312" w:cs="宋体" w:hint="eastAsia"/>
          <w:color w:val="333333"/>
          <w:kern w:val="0"/>
          <w:szCs w:val="21"/>
        </w:rPr>
        <w:t>屏或者</w:t>
      </w:r>
      <w:proofErr w:type="gramEnd"/>
      <w:r w:rsidRPr="005D6D5A">
        <w:rPr>
          <w:rFonts w:ascii="FangSong_GB2312" w:eastAsia="FangSong_GB2312" w:hAnsi="FangSong_GB2312" w:cs="宋体" w:hint="eastAsia"/>
          <w:color w:val="333333"/>
          <w:kern w:val="0"/>
          <w:szCs w:val="21"/>
        </w:rPr>
        <w:t>网络直播，不得传播试题等复试内容，否则将依据相关规定追究相关人员责任。考生本人考试结束后不得在相关科目考试全部结束前对外透露传播考题信息，否则取消录取资格。</w:t>
      </w:r>
    </w:p>
    <w:p w:rsidR="005D6D5A" w:rsidRPr="005D6D5A" w:rsidRDefault="005D6D5A" w:rsidP="005D6D5A">
      <w:pPr>
        <w:widowControl/>
        <w:shd w:val="clear" w:color="auto" w:fill="FFFFFF"/>
        <w:wordWrap w:val="0"/>
        <w:spacing w:line="450" w:lineRule="atLeast"/>
        <w:ind w:firstLine="602"/>
        <w:jc w:val="left"/>
        <w:rPr>
          <w:rFonts w:ascii="Verdana" w:eastAsia="宋体" w:hAnsi="Verdana" w:cs="宋体"/>
          <w:color w:val="333333"/>
          <w:kern w:val="0"/>
          <w:szCs w:val="21"/>
        </w:rPr>
      </w:pPr>
      <w:r w:rsidRPr="005D6D5A">
        <w:rPr>
          <w:rFonts w:ascii="FangSong_GB2312" w:eastAsia="FangSong_GB2312" w:hAnsi="FangSong_GB2312" w:cs="宋体" w:hint="eastAsia"/>
          <w:b/>
          <w:bCs/>
          <w:color w:val="333333"/>
          <w:kern w:val="0"/>
          <w:szCs w:val="21"/>
        </w:rPr>
        <w:t>六、关于录取</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根据各专业（或研究方向）招生计划、复试录取方法以及考生初试成绩、复试成绩、思想政治表现、身心健康状况等择优确定拟录取考生名单。</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1.复试成绩=外语口语听力交流能力+专业知识考核+综合素质。</w:t>
      </w:r>
    </w:p>
    <w:p w:rsidR="005D6D5A" w:rsidRPr="005D6D5A" w:rsidRDefault="005D6D5A" w:rsidP="005D6D5A">
      <w:pPr>
        <w:widowControl/>
        <w:shd w:val="clear" w:color="auto" w:fill="FFFFFF"/>
        <w:wordWrap w:val="0"/>
        <w:spacing w:line="450" w:lineRule="atLeast"/>
        <w:ind w:firstLine="75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总成绩=(初试总成绩/5)*0.7+(复试成绩/1.5)*0.3。</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2.复试资格不合格、复试违纪或作弊、体检不合格、未按时</w:t>
      </w:r>
      <w:proofErr w:type="gramStart"/>
      <w:r w:rsidRPr="005D6D5A">
        <w:rPr>
          <w:rFonts w:ascii="FangSong_GB2312" w:eastAsia="FangSong_GB2312" w:hAnsi="FangSong_GB2312" w:cs="宋体" w:hint="eastAsia"/>
          <w:color w:val="333333"/>
          <w:kern w:val="0"/>
          <w:szCs w:val="21"/>
        </w:rPr>
        <w:t>间规定</w:t>
      </w:r>
      <w:proofErr w:type="gramEnd"/>
      <w:r w:rsidRPr="005D6D5A">
        <w:rPr>
          <w:rFonts w:ascii="FangSong_GB2312" w:eastAsia="FangSong_GB2312" w:hAnsi="FangSong_GB2312" w:cs="宋体" w:hint="eastAsia"/>
          <w:color w:val="333333"/>
          <w:kern w:val="0"/>
          <w:szCs w:val="21"/>
        </w:rPr>
        <w:t>参加复试、未通过或未完成学历（学籍）审核等不符合规定要求的考生，不予录取。</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3.复试成绩低于90分，或同等学力加试科目中的任何一门成绩低于60分的同等学力考生，或思想政治理论加试不合格的不予录取。</w:t>
      </w:r>
    </w:p>
    <w:p w:rsidR="005D6D5A" w:rsidRPr="005D6D5A" w:rsidRDefault="005D6D5A" w:rsidP="005D6D5A">
      <w:pPr>
        <w:widowControl/>
        <w:shd w:val="clear" w:color="auto" w:fill="FFFFFF"/>
        <w:wordWrap w:val="0"/>
        <w:spacing w:line="450" w:lineRule="atLeast"/>
        <w:ind w:firstLine="45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4.思想政治素质和品德考核不作量化计入总成绩，但考查结果不合格者不予录取，以及其他不符合我校复试规定的考生不予录取。</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5.确定拟录取名单后，通过“研招网”向拟录取考生发出“拟录取”通知，考生须在接到“拟录取”通知12小时内确认，否则被视为放弃本次调剂录取，我校有权取消其拟录取资格。在网上没有接到拟录取通知的，即没有被我校录取。</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被录取为非定向就业的考生须将本人人事档案等材料在学校规定的入学时间前调转至辽宁师范大学，否则会影响学籍注册。</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lastRenderedPageBreak/>
        <w:t>  </w:t>
      </w:r>
      <w:r w:rsidRPr="005D6D5A">
        <w:rPr>
          <w:rFonts w:ascii="FangSong_GB2312" w:eastAsia="FangSong_GB2312" w:hAnsi="FangSong_GB2312" w:cs="宋体" w:hint="eastAsia"/>
          <w:color w:val="333333"/>
          <w:kern w:val="0"/>
          <w:szCs w:val="21"/>
        </w:rPr>
        <w:t xml:space="preserve"> 考生因报考硕士研究生与所在单位产生的问题由考生自行处理。若因此造成考生不能复试或无法录取，我校不承担责任。</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7.应届本科毕业生及自学考试和网络教育届时可毕业本科生考生，入学时未取得国家承认的本科毕业证书者，录取资格无效。</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 xml:space="preserve"> 8.调剂复试结果将通过研究生院网站发布。</w:t>
      </w:r>
    </w:p>
    <w:p w:rsidR="005D6D5A" w:rsidRPr="005D6D5A" w:rsidRDefault="005D6D5A" w:rsidP="005D6D5A">
      <w:pPr>
        <w:widowControl/>
        <w:shd w:val="clear" w:color="auto" w:fill="FFFFFF"/>
        <w:wordWrap w:val="0"/>
        <w:spacing w:line="450" w:lineRule="atLeast"/>
        <w:ind w:firstLine="587"/>
        <w:jc w:val="left"/>
        <w:rPr>
          <w:rFonts w:ascii="Verdana" w:eastAsia="宋体" w:hAnsi="Verdana" w:cs="宋体"/>
          <w:color w:val="333333"/>
          <w:kern w:val="0"/>
          <w:szCs w:val="21"/>
        </w:rPr>
      </w:pPr>
      <w:r w:rsidRPr="005D6D5A">
        <w:rPr>
          <w:rFonts w:ascii="FangSong_GB2312" w:eastAsia="FangSong_GB2312" w:hAnsi="FangSong_GB2312" w:cs="宋体" w:hint="eastAsia"/>
          <w:b/>
          <w:bCs/>
          <w:color w:val="333333"/>
          <w:kern w:val="0"/>
          <w:szCs w:val="21"/>
        </w:rPr>
        <w:t>七、关于体检及新生入学后复查办法</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体检工作在考生入学后由学校统一组织。入学后3个月内，我校按照国家有关规定及《辽宁师范大学研究生学籍管理办法》有关要求和内容，对所有考生进行全面复查。</w:t>
      </w:r>
    </w:p>
    <w:p w:rsidR="005D6D5A" w:rsidRPr="005D6D5A" w:rsidRDefault="005D6D5A" w:rsidP="005D6D5A">
      <w:pPr>
        <w:widowControl/>
        <w:shd w:val="clear" w:color="auto" w:fill="FFFFFF"/>
        <w:wordWrap w:val="0"/>
        <w:spacing w:line="450" w:lineRule="atLeast"/>
        <w:ind w:firstLine="587"/>
        <w:jc w:val="left"/>
        <w:rPr>
          <w:rFonts w:ascii="Verdana" w:eastAsia="宋体" w:hAnsi="Verdana" w:cs="宋体"/>
          <w:color w:val="333333"/>
          <w:kern w:val="0"/>
          <w:szCs w:val="21"/>
        </w:rPr>
      </w:pPr>
      <w:r w:rsidRPr="005D6D5A">
        <w:rPr>
          <w:rFonts w:ascii="FangSong_GB2312" w:eastAsia="FangSong_GB2312" w:hAnsi="FangSong_GB2312" w:cs="宋体" w:hint="eastAsia"/>
          <w:b/>
          <w:bCs/>
          <w:color w:val="333333"/>
          <w:kern w:val="0"/>
          <w:szCs w:val="21"/>
        </w:rPr>
        <w:t>八、其他</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1.本调剂录取工作实施细则由*学院复试工作小组负责解释，一切以学校相关文件为执行标准。其它未尽事宜，按照《辽宁师范大学2023年硕士研究生招生复试、调剂录取工作办法》和相关规定执行。</w:t>
      </w:r>
    </w:p>
    <w:p w:rsidR="005D6D5A" w:rsidRPr="005D6D5A" w:rsidRDefault="005D6D5A" w:rsidP="005D6D5A">
      <w:pPr>
        <w:widowControl/>
        <w:shd w:val="clear" w:color="auto" w:fill="FFFFFF"/>
        <w:wordWrap w:val="0"/>
        <w:spacing w:line="450" w:lineRule="atLeast"/>
        <w:ind w:firstLine="600"/>
        <w:jc w:val="lef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2.联系人： 王院长 联系电话：82158728</w:t>
      </w: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魏老师 联系电话：82159596</w:t>
      </w:r>
    </w:p>
    <w:p w:rsidR="005D6D5A" w:rsidRPr="005D6D5A" w:rsidRDefault="005D6D5A" w:rsidP="005D6D5A">
      <w:pPr>
        <w:widowControl/>
        <w:shd w:val="clear" w:color="auto" w:fill="FFFFFF"/>
        <w:wordWrap w:val="0"/>
        <w:spacing w:line="450" w:lineRule="atLeast"/>
        <w:jc w:val="right"/>
        <w:rPr>
          <w:rFonts w:ascii="Verdana" w:eastAsia="宋体" w:hAnsi="Verdana" w:cs="宋体"/>
          <w:color w:val="333333"/>
          <w:kern w:val="0"/>
          <w:szCs w:val="21"/>
        </w:rPr>
      </w:pPr>
      <w:r w:rsidRPr="005D6D5A">
        <w:rPr>
          <w:rFonts w:ascii="宋体" w:eastAsia="宋体" w:hAnsi="宋体" w:cs="宋体" w:hint="eastAsia"/>
          <w:color w:val="333333"/>
          <w:kern w:val="0"/>
          <w:szCs w:val="21"/>
        </w:rPr>
        <w:t>                            </w:t>
      </w:r>
      <w:r w:rsidRPr="005D6D5A">
        <w:rPr>
          <w:rFonts w:ascii="FangSong_GB2312" w:eastAsia="FangSong_GB2312" w:hAnsi="FangSong_GB2312" w:cs="宋体" w:hint="eastAsia"/>
          <w:color w:val="333333"/>
          <w:kern w:val="0"/>
          <w:szCs w:val="21"/>
        </w:rPr>
        <w:t>辽宁师范大学外国语学院</w:t>
      </w:r>
    </w:p>
    <w:p w:rsidR="005D6D5A" w:rsidRPr="005D6D5A" w:rsidRDefault="005D6D5A" w:rsidP="005D6D5A">
      <w:pPr>
        <w:widowControl/>
        <w:shd w:val="clear" w:color="auto" w:fill="FFFFFF"/>
        <w:wordWrap w:val="0"/>
        <w:spacing w:line="450" w:lineRule="atLeast"/>
        <w:jc w:val="right"/>
        <w:rPr>
          <w:rFonts w:ascii="Verdana" w:eastAsia="宋体" w:hAnsi="Verdana" w:cs="宋体"/>
          <w:color w:val="333333"/>
          <w:kern w:val="0"/>
          <w:szCs w:val="21"/>
        </w:rPr>
      </w:pPr>
      <w:r w:rsidRPr="005D6D5A">
        <w:rPr>
          <w:rFonts w:ascii="FangSong_GB2312" w:eastAsia="FangSong_GB2312" w:hAnsi="FangSong_GB2312" w:cs="宋体" w:hint="eastAsia"/>
          <w:color w:val="333333"/>
          <w:kern w:val="0"/>
          <w:szCs w:val="21"/>
        </w:rPr>
        <w:t>2023年4月4日</w:t>
      </w:r>
    </w:p>
    <w:p w:rsidR="005D6D5A" w:rsidRPr="005D6D5A" w:rsidRDefault="005D6D5A" w:rsidP="005D6D5A">
      <w:pPr>
        <w:widowControl/>
        <w:shd w:val="clear" w:color="auto" w:fill="FFFFFF"/>
        <w:wordWrap w:val="0"/>
        <w:spacing w:line="450" w:lineRule="atLeast"/>
        <w:jc w:val="left"/>
        <w:rPr>
          <w:rFonts w:ascii="Verdana" w:eastAsia="宋体" w:hAnsi="Verdana" w:cs="宋体"/>
          <w:color w:val="333333"/>
          <w:kern w:val="0"/>
          <w:szCs w:val="21"/>
        </w:rPr>
      </w:pPr>
      <w:hyperlink r:id="rId5" w:tgtFrame="_blank" w:history="1">
        <w:r w:rsidRPr="005D6D5A">
          <w:rPr>
            <w:rFonts w:ascii="Verdana" w:eastAsia="宋体" w:hAnsi="Verdana" w:cs="宋体"/>
            <w:color w:val="000000"/>
            <w:kern w:val="0"/>
            <w:szCs w:val="21"/>
            <w:bdr w:val="none" w:sz="0" w:space="0" w:color="auto" w:frame="1"/>
          </w:rPr>
          <w:t>辽宁师范大学</w:t>
        </w:r>
        <w:r w:rsidRPr="005D6D5A">
          <w:rPr>
            <w:rFonts w:ascii="Verdana" w:eastAsia="宋体" w:hAnsi="Verdana" w:cs="宋体"/>
            <w:color w:val="000000"/>
            <w:kern w:val="0"/>
            <w:szCs w:val="21"/>
            <w:bdr w:val="none" w:sz="0" w:space="0" w:color="auto" w:frame="1"/>
          </w:rPr>
          <w:t>2023</w:t>
        </w:r>
        <w:r w:rsidRPr="005D6D5A">
          <w:rPr>
            <w:rFonts w:ascii="Verdana" w:eastAsia="宋体" w:hAnsi="Verdana" w:cs="宋体"/>
            <w:color w:val="000000"/>
            <w:kern w:val="0"/>
            <w:szCs w:val="21"/>
            <w:bdr w:val="none" w:sz="0" w:space="0" w:color="auto" w:frame="1"/>
          </w:rPr>
          <w:t>硕士研究生诚信复试承诺书</w:t>
        </w:r>
        <w:r w:rsidRPr="005D6D5A">
          <w:rPr>
            <w:rFonts w:ascii="Verdana" w:eastAsia="宋体" w:hAnsi="Verdana" w:cs="宋体"/>
            <w:color w:val="000000"/>
            <w:kern w:val="0"/>
            <w:szCs w:val="21"/>
            <w:bdr w:val="none" w:sz="0" w:space="0" w:color="auto" w:frame="1"/>
          </w:rPr>
          <w:t>.</w:t>
        </w:r>
        <w:proofErr w:type="gramStart"/>
        <w:r w:rsidRPr="005D6D5A">
          <w:rPr>
            <w:rFonts w:ascii="Verdana" w:eastAsia="宋体" w:hAnsi="Verdana" w:cs="宋体"/>
            <w:color w:val="000000"/>
            <w:kern w:val="0"/>
            <w:szCs w:val="21"/>
            <w:bdr w:val="none" w:sz="0" w:space="0" w:color="auto" w:frame="1"/>
          </w:rPr>
          <w:t>doc</w:t>
        </w:r>
        <w:proofErr w:type="gramEnd"/>
      </w:hyperlink>
    </w:p>
    <w:p w:rsidR="005D6D5A" w:rsidRPr="005D6D5A" w:rsidRDefault="005D6D5A" w:rsidP="005D6D5A">
      <w:pPr>
        <w:widowControl/>
        <w:shd w:val="clear" w:color="auto" w:fill="FFFFFF"/>
        <w:wordWrap w:val="0"/>
        <w:spacing w:line="450" w:lineRule="atLeast"/>
        <w:jc w:val="left"/>
        <w:rPr>
          <w:rFonts w:ascii="Verdana" w:eastAsia="宋体" w:hAnsi="Verdana" w:cs="宋体"/>
          <w:color w:val="333333"/>
          <w:kern w:val="0"/>
          <w:szCs w:val="21"/>
        </w:rPr>
      </w:pPr>
      <w:hyperlink r:id="rId6" w:tgtFrame="_blank" w:history="1">
        <w:r w:rsidRPr="005D6D5A">
          <w:rPr>
            <w:rFonts w:ascii="Verdana" w:eastAsia="宋体" w:hAnsi="Verdana" w:cs="宋体"/>
            <w:color w:val="000000"/>
            <w:kern w:val="0"/>
            <w:szCs w:val="21"/>
            <w:bdr w:val="none" w:sz="0" w:space="0" w:color="auto" w:frame="1"/>
          </w:rPr>
          <w:t>辽宁师范大学研究生院定向培养硕士学位研究生协议书</w:t>
        </w:r>
        <w:r w:rsidRPr="005D6D5A">
          <w:rPr>
            <w:rFonts w:ascii="Verdana" w:eastAsia="宋体" w:hAnsi="Verdana" w:cs="宋体"/>
            <w:color w:val="000000"/>
            <w:kern w:val="0"/>
            <w:szCs w:val="21"/>
            <w:bdr w:val="none" w:sz="0" w:space="0" w:color="auto" w:frame="1"/>
          </w:rPr>
          <w:t>.doc</w:t>
        </w:r>
      </w:hyperlink>
      <w:r w:rsidRPr="005D6D5A">
        <w:rPr>
          <w:rFonts w:ascii="Verdana" w:eastAsia="宋体" w:hAnsi="Verdana" w:cs="宋体"/>
          <w:color w:val="333333"/>
          <w:kern w:val="0"/>
          <w:szCs w:val="21"/>
        </w:rPr>
        <w:br/>
      </w:r>
      <w:hyperlink r:id="rId7" w:tgtFrame="_blank" w:history="1">
        <w:r w:rsidRPr="005D6D5A">
          <w:rPr>
            <w:rFonts w:ascii="Verdana" w:eastAsia="宋体" w:hAnsi="Verdana" w:cs="宋体"/>
            <w:color w:val="000000"/>
            <w:kern w:val="0"/>
            <w:szCs w:val="21"/>
            <w:bdr w:val="none" w:sz="0" w:space="0" w:color="auto" w:frame="1"/>
          </w:rPr>
          <w:t>辽宁师范大学</w:t>
        </w:r>
        <w:r w:rsidRPr="005D6D5A">
          <w:rPr>
            <w:rFonts w:ascii="Verdana" w:eastAsia="宋体" w:hAnsi="Verdana" w:cs="宋体"/>
            <w:color w:val="000000"/>
            <w:kern w:val="0"/>
            <w:szCs w:val="21"/>
            <w:bdr w:val="none" w:sz="0" w:space="0" w:color="auto" w:frame="1"/>
          </w:rPr>
          <w:t>2023</w:t>
        </w:r>
        <w:r w:rsidRPr="005D6D5A">
          <w:rPr>
            <w:rFonts w:ascii="Verdana" w:eastAsia="宋体" w:hAnsi="Verdana" w:cs="宋体"/>
            <w:color w:val="000000"/>
            <w:kern w:val="0"/>
            <w:szCs w:val="21"/>
            <w:bdr w:val="none" w:sz="0" w:space="0" w:color="auto" w:frame="1"/>
          </w:rPr>
          <w:t>年硕士研究生招生复试现实表现表</w:t>
        </w:r>
        <w:r w:rsidRPr="005D6D5A">
          <w:rPr>
            <w:rFonts w:ascii="Verdana" w:eastAsia="宋体" w:hAnsi="Verdana" w:cs="宋体"/>
            <w:color w:val="000000"/>
            <w:kern w:val="0"/>
            <w:szCs w:val="21"/>
            <w:bdr w:val="none" w:sz="0" w:space="0" w:color="auto" w:frame="1"/>
          </w:rPr>
          <w:t>.</w:t>
        </w:r>
        <w:proofErr w:type="gramStart"/>
        <w:r w:rsidRPr="005D6D5A">
          <w:rPr>
            <w:rFonts w:ascii="Verdana" w:eastAsia="宋体" w:hAnsi="Verdana" w:cs="宋体"/>
            <w:color w:val="000000"/>
            <w:kern w:val="0"/>
            <w:szCs w:val="21"/>
            <w:bdr w:val="none" w:sz="0" w:space="0" w:color="auto" w:frame="1"/>
          </w:rPr>
          <w:t>doc</w:t>
        </w:r>
        <w:proofErr w:type="gramEnd"/>
      </w:hyperlink>
    </w:p>
    <w:p w:rsidR="006C59AA" w:rsidRPr="005D6D5A" w:rsidRDefault="006C59AA">
      <w:bookmarkStart w:id="0" w:name="_GoBack"/>
      <w:bookmarkEnd w:id="0"/>
    </w:p>
    <w:sectPr w:rsidR="006C59AA" w:rsidRPr="005D6D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FangSong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571"/>
    <w:rsid w:val="005D6D5A"/>
    <w:rsid w:val="006C59AA"/>
    <w:rsid w:val="009B5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D6D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D6D5A"/>
    <w:rPr>
      <w:rFonts w:ascii="宋体" w:eastAsia="宋体" w:hAnsi="宋体" w:cs="宋体"/>
      <w:b/>
      <w:bCs/>
      <w:kern w:val="0"/>
      <w:sz w:val="36"/>
      <w:szCs w:val="36"/>
    </w:rPr>
  </w:style>
  <w:style w:type="paragraph" w:styleId="a3">
    <w:name w:val="Normal (Web)"/>
    <w:basedOn w:val="a"/>
    <w:uiPriority w:val="99"/>
    <w:unhideWhenUsed/>
    <w:rsid w:val="005D6D5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D6D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D6D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D6D5A"/>
    <w:rPr>
      <w:rFonts w:ascii="宋体" w:eastAsia="宋体" w:hAnsi="宋体" w:cs="宋体"/>
      <w:b/>
      <w:bCs/>
      <w:kern w:val="0"/>
      <w:sz w:val="36"/>
      <w:szCs w:val="36"/>
    </w:rPr>
  </w:style>
  <w:style w:type="paragraph" w:styleId="a3">
    <w:name w:val="Normal (Web)"/>
    <w:basedOn w:val="a"/>
    <w:uiPriority w:val="99"/>
    <w:unhideWhenUsed/>
    <w:rsid w:val="005D6D5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D6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13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l.lnnu.edu.cn/uploads/Article/202304/1680699517.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l.lnnu.edu.cn/uploads/Article/202304/1680699479.doc" TargetMode="External"/><Relationship Id="rId5" Type="http://schemas.openxmlformats.org/officeDocument/2006/relationships/hyperlink" Target="https://fl.lnnu.edu.cn/uploads/Article/202304/1680699348.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2023-05-17T01:39:00Z</dcterms:created>
  <dcterms:modified xsi:type="dcterms:W3CDTF">2023-05-17T01:39:00Z</dcterms:modified>
</cp:coreProperties>
</file>