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562" w:lineRule="atLeast"/>
        <w:ind w:left="0" w:right="0"/>
        <w:jc w:val="center"/>
        <w:rPr>
          <w:rFonts w:ascii="微软雅黑" w:hAnsi="微软雅黑" w:eastAsia="微软雅黑" w:cs="微软雅黑"/>
          <w:color w:val="191919"/>
          <w:sz w:val="31"/>
          <w:szCs w:val="3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91919"/>
          <w:spacing w:val="0"/>
          <w:sz w:val="31"/>
          <w:szCs w:val="31"/>
          <w:bdr w:val="none" w:color="auto" w:sz="0" w:space="0"/>
        </w:rPr>
        <w:t>郑州大学书法学院2023年硕士研究生招生拟调剂信息公告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作者：| 发布时间：2023-03-28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基于我院相关学科重点发展的需要，美术学专业可以接收调剂生，热忱欢迎全国各地优秀考生调剂到本院继续深造。为方便考生调剂，现将调剂有关注意事项提示如下：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</w:p>
    <w:tbl>
      <w:tblPr>
        <w:tblW w:w="550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接收调剂的专业研究方向及分数线信息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tbl>
            <w:tblPr>
              <w:tblW w:w="5508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84"/>
              <w:gridCol w:w="539"/>
              <w:gridCol w:w="603"/>
              <w:gridCol w:w="454"/>
              <w:gridCol w:w="454"/>
              <w:gridCol w:w="540"/>
              <w:gridCol w:w="540"/>
              <w:gridCol w:w="514"/>
              <w:gridCol w:w="540"/>
              <w:gridCol w:w="5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 w:hRule="atLeast"/>
              </w:trPr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Style w:val="6"/>
                      <w:rFonts w:hint="eastAsia" w:ascii="微软雅黑" w:hAnsi="微软雅黑" w:eastAsia="微软雅黑" w:cs="微软雅黑"/>
                      <w:sz w:val="18"/>
                      <w:szCs w:val="18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Style w:val="6"/>
                      <w:rFonts w:hint="eastAsia" w:ascii="微软雅黑" w:hAnsi="微软雅黑" w:eastAsia="微软雅黑" w:cs="微软雅黑"/>
                      <w:sz w:val="18"/>
                      <w:szCs w:val="18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121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Style w:val="6"/>
                      <w:rFonts w:hint="eastAsia" w:ascii="微软雅黑" w:hAnsi="微软雅黑" w:eastAsia="微软雅黑" w:cs="微软雅黑"/>
                      <w:sz w:val="18"/>
                      <w:szCs w:val="18"/>
                      <w:bdr w:val="none" w:color="auto" w:sz="0" w:space="0"/>
                    </w:rPr>
                    <w:t>研究方向</w:t>
                  </w:r>
                </w:p>
              </w:tc>
              <w:tc>
                <w:tcPr>
                  <w:tcW w:w="70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Style w:val="6"/>
                      <w:rFonts w:hint="eastAsia" w:ascii="微软雅黑" w:hAnsi="微软雅黑" w:eastAsia="微软雅黑" w:cs="微软雅黑"/>
                      <w:sz w:val="18"/>
                      <w:szCs w:val="18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70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Style w:val="6"/>
                      <w:rFonts w:hint="eastAsia" w:ascii="微软雅黑" w:hAnsi="微软雅黑" w:eastAsia="微软雅黑" w:cs="微软雅黑"/>
                      <w:sz w:val="18"/>
                      <w:szCs w:val="18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Style w:val="6"/>
                      <w:rFonts w:hint="eastAsia" w:ascii="微软雅黑" w:hAnsi="微软雅黑" w:eastAsia="微软雅黑" w:cs="微软雅黑"/>
                      <w:sz w:val="18"/>
                      <w:szCs w:val="18"/>
                      <w:bdr w:val="none" w:color="auto" w:sz="0" w:space="0"/>
                    </w:rPr>
                    <w:t>业务科一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Style w:val="6"/>
                      <w:rFonts w:hint="eastAsia" w:ascii="微软雅黑" w:hAnsi="微软雅黑" w:eastAsia="微软雅黑" w:cs="微软雅黑"/>
                      <w:sz w:val="18"/>
                      <w:szCs w:val="18"/>
                      <w:bdr w:val="none" w:color="auto" w:sz="0" w:space="0"/>
                    </w:rPr>
                    <w:t>业务科二</w:t>
                  </w:r>
                </w:p>
              </w:tc>
              <w:tc>
                <w:tcPr>
                  <w:tcW w:w="70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Style w:val="6"/>
                      <w:rFonts w:hint="eastAsia" w:ascii="微软雅黑" w:hAnsi="微软雅黑" w:eastAsia="微软雅黑" w:cs="微软雅黑"/>
                      <w:sz w:val="18"/>
                      <w:szCs w:val="18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Style w:val="6"/>
                      <w:rFonts w:hint="eastAsia" w:ascii="微软雅黑" w:hAnsi="微软雅黑" w:eastAsia="微软雅黑" w:cs="微软雅黑"/>
                      <w:sz w:val="18"/>
                      <w:szCs w:val="18"/>
                      <w:bdr w:val="none" w:color="auto" w:sz="0" w:space="0"/>
                    </w:rPr>
                    <w:t>调剂名额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Style w:val="6"/>
                      <w:rFonts w:hint="eastAsia" w:ascii="微软雅黑" w:hAnsi="微软雅黑" w:eastAsia="微软雅黑" w:cs="微软雅黑"/>
                      <w:sz w:val="18"/>
                      <w:szCs w:val="18"/>
                      <w:bdr w:val="none" w:color="auto" w:sz="0" w:space="0"/>
                    </w:rPr>
                    <w:t>调剂录取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996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t>130400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t>美术学</w:t>
                  </w: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t>书法艺术研究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t>90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t>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t>362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99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52" w:lineRule="atLeast"/>
                    <w:ind w:left="0" w:right="0" w:firstLine="0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t>6</w:t>
                  </w:r>
                </w:p>
              </w:tc>
            </w:tr>
          </w:tbl>
          <w:p>
            <w:pPr>
              <w:spacing w:before="0" w:beforeAutospacing="0" w:after="0" w:afterAutospacing="0" w:line="23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拟调剂申请政策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1.调剂考生必须符合我校相关专业报考条件（见《郑州大学2023年攻读硕士学位研究生招生简章-郑州大学研究生院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</w:rPr>
        <w:instrText xml:space="preserve"> HYPERLINK "http://gs.zzu.edu.cn/%E3%80%8B%EF%BC%89%E5%92%8C%E4%B8%8A%E7%BA%A7%E7%9B%B8%E5%85%B3%E6%96%87%E4%BB%B6%E7%9A%84%E8%A6%81%E6%B1%82%E3%80%82"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</w:rPr>
        <w:t>http://gs.zzu.edu.cn/》）和上级相关文件的要求。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2.调剂考生的调出和调入专业均需“双过线”，即：考生的分数均需达到拟调入我院专业所在学科国家2023年A类地区研究生复试线。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3.专业课初试科目与调剂专业初试科目相同或相近。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4.130400美术学专业接收英语和日语语种的调剂考生。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1.所有申请调剂考生均应登录中国研究生招生信息网（http://yz.chsi.com.cn/）调剂平台填报调剂信息，接受我院复试通知的考生应在学院规定时间内参加复试，未能在规定时间内参加复试者视为自动放弃。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2.研究生复试时间与方式和学校调剂系统开放安排等事宜请密切关注（所有相关信息有且仅以以下官方渠道为准，其他来源本院不作任何解释）：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郑州大学研究生院网站（https://gs.zzu.edu.cn/zsgz.htm）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郑州大学书法学院网站（http://www5.zzu.edu.cn/shufa/）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咨询方式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电话：王老师0371-67767983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1. 最终通过调剂资格的考生名单以研招网调剂系统审核结果为准。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2. 本通知如有与上级文件和学校政策不符，以上级文件要求和学校政策为准。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3. 如有考生提供的个人信息有不实、不详表述，致使资格审查有误的，取消考生面试及录取资格。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 w:line="252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书法学院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2023年3月28日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95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661</Words>
  <Characters>820</Characters>
  <Lines>0</Lines>
  <Paragraphs>0</Paragraphs>
  <TotalTime>0</TotalTime>
  <ScaleCrop>false</ScaleCrop>
  <LinksUpToDate>false</LinksUpToDate>
  <CharactersWithSpaces>826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2023-04-04T07:39:07Z</dcterms:created>
  <dc:creator>DELL</dc:creator>
  <cp:lastModifiedBy>曾经的那个老吴</cp:lastModifiedBy>
  <dcterms:modified xsi:type="dcterms:W3CDTF">2023-04-04T07:39:19Z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7B49DA64E52A4E6F93E67BC81C513D66_12</vt:lpwstr>
  </property>
</Properties>
</file>